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B6" w:rsidRPr="006C4EB6" w:rsidRDefault="006C4EB6" w:rsidP="006C4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6C4EB6" w:rsidRPr="006C4EB6" w:rsidRDefault="006C4EB6" w:rsidP="006C4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деятельности учебной части НОК за 2009-10 учебный год.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В 2009 -2010 учебном году деятельность учебной части школы была направлена на решение задач,  определенных по окончании 2008-09 учебного года,  проводилась и  координировалась в соответствии с основными нормативными документами, регулирующими деятельность школы.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В 2009-2010 учебном году с целью реализации задачи российской образовательной политики по обеспечению современного качества образования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школа работала по трем учебным планам, которые были разработаны на основе федеральных, утвержденных в </w:t>
      </w:r>
      <w:smartTag w:uri="urn:schemas-microsoft-com:office:smarttags" w:element="metricconverter">
        <w:smartTagPr>
          <w:attr w:name="ProductID" w:val="1998 г"/>
        </w:smartTagPr>
        <w:r w:rsidRPr="006C4EB6">
          <w:rPr>
            <w:rFonts w:ascii="Times New Roman" w:eastAsia="Times New Roman" w:hAnsi="Times New Roman" w:cs="Times New Roman"/>
            <w:sz w:val="24"/>
            <w:szCs w:val="24"/>
          </w:rPr>
          <w:t>1998 г</w:t>
        </w:r>
      </w:smartTag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2004 г"/>
        </w:smartTagPr>
        <w:r w:rsidRPr="006C4EB6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., а также осуществляла введение стандартов второго поколения. Так,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- в соответствии с нормативными документами, регулирующих деятельность школы как   региональной экспериментальной площадки по внедрению стандартов второго поколения,  продолжалось введение стандартов в 1, 2 классах;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в 3, 5 – 11 классах в соответствии с нормативными документами продолжалось поэтапное введение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БУПа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C4EB6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6C4EB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  учебный план обучающихся 4 классов, разработанный на основе  базисного учебного плана </w:t>
      </w:r>
      <w:smartTag w:uri="urn:schemas-microsoft-com:office:smarttags" w:element="metricconverter">
        <w:smartTagPr>
          <w:attr w:name="ProductID" w:val="1998 г"/>
        </w:smartTagPr>
        <w:r w:rsidRPr="006C4EB6">
          <w:rPr>
            <w:rFonts w:ascii="Times New Roman" w:eastAsia="Times New Roman" w:hAnsi="Times New Roman" w:cs="Times New Roman"/>
            <w:sz w:val="24"/>
            <w:szCs w:val="24"/>
          </w:rPr>
          <w:t>1998 г</w:t>
        </w:r>
      </w:smartTag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помимо учебных предметов инвариантной части содержал  курс информатики в 4 классах (по 1 часу);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осуществлялась деятельность школы по организации  образования обучающихся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ступени по выбранному информационно-технологическому профилю в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с которым учащиеся 10 и 11 классов дополнительно изучали выбранные ими курсы: «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Веб-дизайн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Мультимедиатехнологии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», «ИКТ в делопроизводстве» и «Компьютерный дизайн».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Для четкой организации образовательного процесса в школе разработаны в соответствии с действующими нормативными документами учебные планы на предстоящий 2010 -2011 учебный год и обеспечивающие, в соответствии с приказами Министерства образования Ростовской области и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Неклиновского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РУО: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 полное введение базисного учебного плана </w:t>
      </w:r>
      <w:smartTag w:uri="urn:schemas-microsoft-com:office:smarttags" w:element="metricconverter">
        <w:smartTagPr>
          <w:attr w:name="ProductID" w:val="2004 г"/>
        </w:smartTagPr>
        <w:r w:rsidRPr="006C4EB6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в 4 – 11 классах, с профильным обучением  в 11 классах по информационно-технологическому профилю;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-  введение нового федерального учебного плана в 1 – 3 классах по апробации  стандартов второго поколения.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В прошедшем учебном году базовый, школьный и региональный компоненты учебного плана НОК, рабочие программы, и практическая часть рабочих программ выполнены, однако, отставание  по предметам по количеству часов, выданному в течение учебного года, составляет по объективным причинам от 4 до 12 часов, что по предметам составляет  от 6  до 10 % от общего числа учебных часов.</w:t>
      </w:r>
      <w:proofErr w:type="gramEnd"/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Учебной частью школы в этом учебном году: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-   приведены в соответствии с утвержденными Положением о рабочих программах в МОУ ПСОШ «НОК» и приложений к нему рабочие программы;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  организована работа по результатам экспертизы  на предмет соответствия программ обязательному минимуму содержания образования и перечню учебников, утвержденных к реализации на 2010 – 2011 учебный год.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Однако в предстоящем учебном году необходимо откорректировать образовательную программу НОК, т.к. с введением федерального государственного образовательного стандарта второго поколения и нового федерального учебного плана по апробации стандартов второго поколения и современными требованиями к качеству образования изменены и требования к нормативной базе школы.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 рабочими программами и программой развития школы, в каждом классе по предметам учебного плана  ряд тем  изучалось проектным методом. Как итог этой деятельности в мае, третий раз в школе,  для учащихся 5 – 11 классов и впервые для учащихся 1 – 4 классов состоялась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научно-практическая конференция учащихся. На конференции были представлены результаты исследовательской деятельности учащихся по темам, изучаемым на уроках и во внеурочной деятельности проектным методом. В соответствии с задачей,  определенной на 2009 – 2010 учебный год учебной частью НОК разработано Положение о научно-практической 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lastRenderedPageBreak/>
        <w:t>конференции и утверждено приказом по школе. Подготовка и проведение конференции осуществлялось на основании этого Положения.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Анализируя результаты участия учащихся в конференции, следует отметить, что: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- во время конференции работало 6 предметных секций: 2 секции для учащихся начальных классов и 4 секции для учащихся 5 – 11 классов (в прошлом году работало 4 секции) Руководство секций, также как и в прошлом году осуществлялось руководителями МО;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- учащимися было представлено 43 выступления, тогда как в прошлом учебном году было 24 выступления. Из 43 выступлений 34 выступления были индивидуальными и 9 групповыми, в прошлом году было 28 индивидуальных и 6 групповых;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в работе секций всего приняли участие 100 учащихся 1 – 11 классов. Однако не все классные руководители организовали участие  учащихся в работе научно-практической конференции.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Так, не участвовали в работе секций учащиеся 3б 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. рук.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Пономаренко Г.А.) и 8а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рук.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Дараган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Р.П.) классов.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>редставленные результаты деятельности соответствовали перечню проектных заданий рабочих программ предметов и программ дополнительного образования.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1828800"/>
            <wp:effectExtent l="0" t="0" r="0" b="0"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В прошедшем учебном году учебной частью разработано нормативное обеспечение такого вида деятельности учащихся,  как социальная практика. Разработана программа и положение о социальной практике, содержащее критерии оценивания данного вида деятельности учащихся. Но необходимо: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- в сентябре 2010 года организовать изучение педагогическим коллективом школы указанных нормативных документов,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в течение следующего учебного года организовать деятельность учителей и учащихся по реализации программы. 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Одним из направлений деятельности учебной части школы является повышение качества образования обучающихся. Благодаря совместным действиям участников образовательного процесса, в прошедшем учебном году в отличие от прошлого,  по итогам учебного года в третьей ступени нет неуспевающих учащихся. Во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ступени успеваемость стала ниже на 1 %, 4 учащихся оставлены на повторный курс обучения.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2"/>
        <w:gridCol w:w="1141"/>
        <w:gridCol w:w="981"/>
        <w:gridCol w:w="1336"/>
        <w:gridCol w:w="1006"/>
        <w:gridCol w:w="666"/>
        <w:gridCol w:w="992"/>
        <w:gridCol w:w="816"/>
      </w:tblGrid>
      <w:tr w:rsidR="006C4EB6" w:rsidRPr="006C4EB6" w:rsidTr="00CA635D">
        <w:trPr>
          <w:jc w:val="center"/>
        </w:trPr>
        <w:tc>
          <w:tcPr>
            <w:tcW w:w="1572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 год</w:t>
            </w:r>
          </w:p>
        </w:tc>
        <w:tc>
          <w:tcPr>
            <w:tcW w:w="1141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981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336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обучен-ти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672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</w:p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1808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</w:t>
            </w:r>
          </w:p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</w:t>
            </w:r>
          </w:p>
        </w:tc>
      </w:tr>
      <w:tr w:rsidR="006C4EB6" w:rsidRPr="006C4EB6" w:rsidTr="00CA635D">
        <w:trPr>
          <w:jc w:val="center"/>
        </w:trPr>
        <w:tc>
          <w:tcPr>
            <w:tcW w:w="1572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66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4EB6" w:rsidRPr="006C4EB6" w:rsidTr="00CA635D">
        <w:trPr>
          <w:jc w:val="center"/>
        </w:trPr>
        <w:tc>
          <w:tcPr>
            <w:tcW w:w="1572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 – 2008 </w:t>
            </w:r>
          </w:p>
        </w:tc>
        <w:tc>
          <w:tcPr>
            <w:tcW w:w="114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8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3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C4EB6" w:rsidRPr="006C4EB6" w:rsidTr="00CA635D">
        <w:trPr>
          <w:jc w:val="center"/>
        </w:trPr>
        <w:tc>
          <w:tcPr>
            <w:tcW w:w="1572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8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1572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2008 - 2009</w:t>
            </w:r>
          </w:p>
        </w:tc>
        <w:tc>
          <w:tcPr>
            <w:tcW w:w="114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8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3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C4EB6" w:rsidRPr="006C4EB6" w:rsidTr="00CA635D">
        <w:trPr>
          <w:jc w:val="center"/>
        </w:trPr>
        <w:tc>
          <w:tcPr>
            <w:tcW w:w="1572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8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C4EB6" w:rsidRPr="006C4EB6" w:rsidTr="00CA635D">
        <w:trPr>
          <w:jc w:val="center"/>
        </w:trPr>
        <w:tc>
          <w:tcPr>
            <w:tcW w:w="1572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2009 - 2010</w:t>
            </w:r>
          </w:p>
        </w:tc>
        <w:tc>
          <w:tcPr>
            <w:tcW w:w="114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8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0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1572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8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Показатель качества успеваемости учащихся на конец учебного года во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ступени составил 44 %, что на 5 % ниже прошлогоднего показателя. В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ступени 59 %, что на 10 % выше т.к. в прошлом учебном году было 49 %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4"/>
        <w:gridCol w:w="890"/>
        <w:gridCol w:w="891"/>
        <w:gridCol w:w="890"/>
        <w:gridCol w:w="891"/>
        <w:gridCol w:w="890"/>
        <w:gridCol w:w="891"/>
        <w:gridCol w:w="890"/>
        <w:gridCol w:w="891"/>
        <w:gridCol w:w="891"/>
      </w:tblGrid>
      <w:tr w:rsidR="006C4EB6" w:rsidRPr="006C4EB6" w:rsidTr="00CA635D">
        <w:trPr>
          <w:jc w:val="center"/>
        </w:trPr>
        <w:tc>
          <w:tcPr>
            <w:tcW w:w="1334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71" w:type="dxa"/>
            <w:gridSpan w:val="3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2672" w:type="dxa"/>
            <w:gridSpan w:val="3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72" w:type="dxa"/>
            <w:gridSpan w:val="3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4EB6" w:rsidRPr="006C4EB6" w:rsidTr="00CA635D">
        <w:trPr>
          <w:trHeight w:val="783"/>
          <w:jc w:val="center"/>
        </w:trPr>
        <w:tc>
          <w:tcPr>
            <w:tcW w:w="1334" w:type="dxa"/>
            <w:vMerge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4EB6" w:rsidRPr="006C4EB6" w:rsidTr="00CA635D">
        <w:trPr>
          <w:trHeight w:val="138"/>
          <w:jc w:val="center"/>
        </w:trPr>
        <w:tc>
          <w:tcPr>
            <w:tcW w:w="1334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C4EB6" w:rsidRPr="006C4EB6" w:rsidTr="00CA635D">
        <w:trPr>
          <w:jc w:val="center"/>
        </w:trPr>
        <w:tc>
          <w:tcPr>
            <w:tcW w:w="1334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C4EB6" w:rsidRPr="006C4EB6" w:rsidTr="00CA635D">
        <w:trPr>
          <w:jc w:val="center"/>
        </w:trPr>
        <w:tc>
          <w:tcPr>
            <w:tcW w:w="1334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C4EB6" w:rsidRPr="006C4EB6" w:rsidTr="00CA635D">
        <w:trPr>
          <w:jc w:val="center"/>
        </w:trPr>
        <w:tc>
          <w:tcPr>
            <w:tcW w:w="1334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C4EB6" w:rsidRPr="006C4EB6" w:rsidTr="00CA635D">
        <w:trPr>
          <w:jc w:val="center"/>
        </w:trPr>
        <w:tc>
          <w:tcPr>
            <w:tcW w:w="1334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68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887"/>
        <w:gridCol w:w="888"/>
        <w:gridCol w:w="887"/>
        <w:gridCol w:w="888"/>
        <w:gridCol w:w="887"/>
        <w:gridCol w:w="888"/>
        <w:gridCol w:w="887"/>
        <w:gridCol w:w="888"/>
        <w:gridCol w:w="888"/>
      </w:tblGrid>
      <w:tr w:rsidR="006C4EB6" w:rsidRPr="006C4EB6" w:rsidTr="00CA635D">
        <w:trPr>
          <w:jc w:val="center"/>
        </w:trPr>
        <w:tc>
          <w:tcPr>
            <w:tcW w:w="1280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662" w:type="dxa"/>
            <w:gridSpan w:val="3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63" w:type="dxa"/>
            <w:gridSpan w:val="3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63" w:type="dxa"/>
            <w:gridSpan w:val="3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4EB6" w:rsidRPr="006C4EB6" w:rsidTr="00CA635D">
        <w:trPr>
          <w:jc w:val="center"/>
        </w:trPr>
        <w:tc>
          <w:tcPr>
            <w:tcW w:w="1280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4EB6" w:rsidRPr="006C4EB6" w:rsidTr="00CA635D">
        <w:trPr>
          <w:jc w:val="center"/>
        </w:trPr>
        <w:tc>
          <w:tcPr>
            <w:tcW w:w="128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C4EB6" w:rsidRPr="006C4EB6" w:rsidTr="00CA635D">
        <w:trPr>
          <w:jc w:val="center"/>
        </w:trPr>
        <w:tc>
          <w:tcPr>
            <w:tcW w:w="128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C4EB6" w:rsidRPr="006C4EB6" w:rsidTr="00CA635D">
        <w:trPr>
          <w:jc w:val="center"/>
        </w:trPr>
        <w:tc>
          <w:tcPr>
            <w:tcW w:w="128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      Анализ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школы показал, что:</w:t>
      </w:r>
    </w:p>
    <w:p w:rsidR="006C4EB6" w:rsidRPr="006C4EB6" w:rsidRDefault="006C4EB6" w:rsidP="006C4E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на базовом уровне обучены все учащиеся, за исключением пятерых: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Ашурлаева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Р. учащегося 3б класса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руководитель Пономаренко Г.А.) не аттестованного по всем предметам учебного плана из-за пропусков учебных занятий,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-   Гуриной К. учащейся 6б класса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Сухоненко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И.А.), имеющей по итогам учебного года 1 неудовлетворительную отметку и 3 не аттестации по предметам из-за пропусков учебных занятий и оставленной на повторный курс обучения в 6 классе,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Троненко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Д. учащегося 7 класса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Булынина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Л.М.), имеющего 4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неудовлетворительных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отметки по итогам учебного года и оставленного на повторный курс обучения в 7 классе,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Ефименко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Н. учащегося 9а класса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. руководитель Третьяк И.В.) имеющего 9 неудовлетворительных отметок по итогам учебного года и оставленного на повторный курс обучения в 9 классе,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Верхоланцева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Р.  учащегося 9а класса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руководитель Третьяк И.В.) имеющего 2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неудовлетворительных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отметки по итогам учебного года и оставленного на повторный курс обучения в 9 классе.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Т.о.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в школе по итогам учебного года составила 99,9 % (в прошлом учебном году 96 %). Хотя и произошло уменьшение количества неуспевающих учащихся в сравнении с прошлым учебным годом в два раза, необходимо продолжить работу педагогического коллектива по уменьшению количества учащихся, имеющих неудовлетворительные отметки.</w:t>
      </w:r>
      <w:r w:rsidRPr="006C4E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2) На программном уровне во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ступени школы из 230 учащихся 109 учащихся имеют отметки «отлично» и «хорошо», поэтому % качества составил 47 %.  В сравнении с прошлым учебным годом этот показатель стал ниже на 2 % (в 2008-2009 учебном году качество успеваемости учащихся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ступени составляло 49 %).  Из 109 учащихся 21 (9 %), являются отличниками, но в прошлом учебном году отличников было 26 учащихся (10 %), что свидетельствует о снижении качественной успеваемости учащихся НОК. </w:t>
      </w:r>
    </w:p>
    <w:tbl>
      <w:tblPr>
        <w:tblW w:w="9528" w:type="dxa"/>
        <w:jc w:val="center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187"/>
        <w:gridCol w:w="2663"/>
        <w:gridCol w:w="1418"/>
        <w:gridCol w:w="1842"/>
      </w:tblGrid>
      <w:tr w:rsidR="006C4EB6" w:rsidRPr="006C4EB6" w:rsidTr="00CA635D">
        <w:trPr>
          <w:trHeight w:val="823"/>
          <w:jc w:val="center"/>
        </w:trPr>
        <w:tc>
          <w:tcPr>
            <w:tcW w:w="141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 год</w:t>
            </w:r>
          </w:p>
        </w:tc>
        <w:tc>
          <w:tcPr>
            <w:tcW w:w="21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уч-ся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66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имеющих отметки «отлично» и «хорошо»</w:t>
            </w:r>
          </w:p>
        </w:tc>
        <w:tc>
          <w:tcPr>
            <w:tcW w:w="141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отличников</w:t>
            </w:r>
          </w:p>
        </w:tc>
        <w:tc>
          <w:tcPr>
            <w:tcW w:w="184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уч-ся</w:t>
            </w:r>
          </w:p>
        </w:tc>
      </w:tr>
      <w:tr w:rsidR="006C4EB6" w:rsidRPr="006C4EB6" w:rsidTr="00CA635D">
        <w:trPr>
          <w:jc w:val="center"/>
        </w:trPr>
        <w:tc>
          <w:tcPr>
            <w:tcW w:w="141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 – 2008 </w:t>
            </w:r>
          </w:p>
        </w:tc>
        <w:tc>
          <w:tcPr>
            <w:tcW w:w="21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66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50 \ 26</w:t>
            </w:r>
          </w:p>
        </w:tc>
      </w:tr>
      <w:tr w:rsidR="006C4EB6" w:rsidRPr="006C4EB6" w:rsidTr="00CA635D">
        <w:trPr>
          <w:jc w:val="center"/>
        </w:trPr>
        <w:tc>
          <w:tcPr>
            <w:tcW w:w="141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2008 – 2009</w:t>
            </w:r>
          </w:p>
        </w:tc>
        <w:tc>
          <w:tcPr>
            <w:tcW w:w="21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66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49 \ 10</w:t>
            </w:r>
          </w:p>
        </w:tc>
      </w:tr>
      <w:tr w:rsidR="006C4EB6" w:rsidRPr="006C4EB6" w:rsidTr="00CA635D">
        <w:trPr>
          <w:jc w:val="center"/>
        </w:trPr>
        <w:tc>
          <w:tcPr>
            <w:tcW w:w="141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 – 2010 </w:t>
            </w:r>
          </w:p>
        </w:tc>
        <w:tc>
          <w:tcPr>
            <w:tcW w:w="218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6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47 \ 9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3) В этом учебном году один учащийся Объедков Ю. (7 класс) обучался на дому по индивидуальному учебному плану.  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4)  По итогам года четверо выпускников 11-ых классов (из 30) получили медали: 3 золотых и 1 серебряную, один выпускник 9-ых классов (из 32) получил аттестат с отличием. 10 выпускников 9 класса окончили школу на «4» и «5», следовательно, % качества составил – 34 %.. Все выпускники сдали экзамены государственной (итоговой) аттестации, поэтому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составила 100 %, но в прошлом учебном году % качества составлял 44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%, т.е. качественная успеваемость выпускников 9 классов в сравнении с прошлым годом стала ниже на 10 %. 16 выпускников 11 класса окончили школу на «4» и «5», следовательно, % качества составил – 67 %, а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– 100 % (в прошлом году 53 % и 100 %). Поэтому в этом году качественная успеваемость выпускников 11 класса увеличилась на 14 %.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3" w:type="dxa"/>
        <w:jc w:val="center"/>
        <w:tblInd w:w="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48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6C4EB6" w:rsidRPr="006C4EB6" w:rsidTr="00CA635D">
        <w:trPr>
          <w:jc w:val="center"/>
        </w:trPr>
        <w:tc>
          <w:tcPr>
            <w:tcW w:w="567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8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4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2007-2008 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816" w:type="dxa"/>
            <w:gridSpan w:val="4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2008-2009 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816" w:type="dxa"/>
            <w:gridSpan w:val="4"/>
          </w:tcPr>
          <w:p w:rsidR="006C4EB6" w:rsidRPr="006C4EB6" w:rsidRDefault="006C4EB6" w:rsidP="006C4EB6">
            <w:pPr>
              <w:tabs>
                <w:tab w:val="left" w:pos="360"/>
                <w:tab w:val="center" w:pos="1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2009-2010 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6C4EB6" w:rsidRPr="006C4EB6" w:rsidTr="00CA635D">
        <w:trPr>
          <w:jc w:val="center"/>
        </w:trPr>
        <w:tc>
          <w:tcPr>
            <w:tcW w:w="567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выпуск-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408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 % от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кол-ва</w:t>
            </w:r>
          </w:p>
        </w:tc>
        <w:tc>
          <w:tcPr>
            <w:tcW w:w="1408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выпуск-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408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 % от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кол-ва</w:t>
            </w:r>
          </w:p>
        </w:tc>
        <w:tc>
          <w:tcPr>
            <w:tcW w:w="1408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выпуск-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408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 % от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кол-ва</w:t>
            </w:r>
          </w:p>
        </w:tc>
      </w:tr>
      <w:tr w:rsidR="006C4EB6" w:rsidRPr="006C4EB6" w:rsidTr="00CA635D">
        <w:trPr>
          <w:jc w:val="center"/>
        </w:trPr>
        <w:tc>
          <w:tcPr>
            <w:tcW w:w="567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EB6" w:rsidRPr="006C4EB6" w:rsidTr="00CA635D">
        <w:trPr>
          <w:jc w:val="center"/>
        </w:trPr>
        <w:tc>
          <w:tcPr>
            <w:tcW w:w="5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46689442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8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4EB6" w:rsidRPr="006C4EB6" w:rsidTr="00CA635D">
        <w:trPr>
          <w:jc w:val="center"/>
        </w:trPr>
        <w:tc>
          <w:tcPr>
            <w:tcW w:w="5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8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Аттестатов с отличием,</w:t>
            </w:r>
          </w:p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медалей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C4EB6" w:rsidRPr="006C4EB6" w:rsidTr="00CA635D">
        <w:trPr>
          <w:jc w:val="center"/>
        </w:trPr>
        <w:tc>
          <w:tcPr>
            <w:tcW w:w="5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8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золотых медалей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4EB6" w:rsidRPr="006C4EB6" w:rsidTr="00CA635D">
        <w:trPr>
          <w:jc w:val="center"/>
        </w:trPr>
        <w:tc>
          <w:tcPr>
            <w:tcW w:w="5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8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серебряных медалей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EB6" w:rsidRPr="006C4EB6" w:rsidTr="00CA635D">
        <w:trPr>
          <w:jc w:val="center"/>
        </w:trPr>
        <w:tc>
          <w:tcPr>
            <w:tcW w:w="5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8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аттестаты с оценками «5».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EB6" w:rsidRPr="006C4EB6" w:rsidTr="00CA635D">
        <w:trPr>
          <w:jc w:val="center"/>
        </w:trPr>
        <w:tc>
          <w:tcPr>
            <w:tcW w:w="5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8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аттестаты с оценками «4» и «5».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C4EB6" w:rsidRPr="006C4EB6" w:rsidTr="00CA635D">
        <w:trPr>
          <w:jc w:val="center"/>
        </w:trPr>
        <w:tc>
          <w:tcPr>
            <w:tcW w:w="5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8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</w:t>
            </w:r>
          </w:p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 аттестаты с одной «3».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bookmarkEnd w:id="0"/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В результате анализа выбора выпускниками 9 классов форм сдачи экзаменов по выбору и предметов, выявлено, что аналогично с прошлыми годами преимущественной формой сдачи экзаменов была традиционная – по билетам. Так, эту форму выбрали – 90,5 % учащихся 9 классов. Лишь один выпускник выбрал такую форму сдачи экзаменов как собеседование и четверо – защиту реферата.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610"/>
        <w:gridCol w:w="1145"/>
        <w:gridCol w:w="1132"/>
      </w:tblGrid>
      <w:tr w:rsidR="006C4EB6" w:rsidRPr="006C4EB6" w:rsidTr="00CA635D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экзамена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4EB6" w:rsidRPr="006C4EB6" w:rsidTr="00CA635D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6C4EB6" w:rsidRPr="006C4EB6" w:rsidTr="00CA635D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реферата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EB6" w:rsidRPr="006C4EB6" w:rsidTr="00CA635D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А для сдачи экзаменов государственной (итоговой) аттестации по выбору было выбрано 10 предметов учебного плана, наибольшее количество учащихся выбрали обществознание (25) и физическую культуру (11):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"/>
        <w:tblW w:w="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488"/>
        <w:gridCol w:w="735"/>
      </w:tblGrid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EB6" w:rsidRPr="006C4EB6" w:rsidTr="00CA635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0645" cy="2587625"/>
            <wp:effectExtent l="0" t="0" r="0" b="0"/>
            <wp:docPr id="27" name="Объек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Выпускники 11 класса  на основании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и необходимостью сдачи экзаменов в форме ЕГЭ для поступления в ВУЗы, кроме обязательных экзаменов осуществляли выбор предметов по выбору из утвержденного перечня. Т.о.,  в этом учебном году произошло значительное увеличение числа участников ЕГЭ по устным предметам  государственной (итоговой) аттестации в 2,5 раза. Ни один учащийся не ограничился сдачей лишь обязательных экзаменов, тогда как в прошлом учебном году двое учащихся  выбрали только обязательные экзамены.  Кроме того, 18 выпускников (60 %) выбрали по одному предмету необходимому для поступления в ВУЗ и 12 выпускников (40 %) по два предмета. </w:t>
      </w: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2257"/>
        <w:gridCol w:w="1406"/>
        <w:gridCol w:w="1406"/>
        <w:gridCol w:w="1406"/>
        <w:gridCol w:w="1406"/>
      </w:tblGrid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6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6C4EB6" w:rsidRPr="006C4EB6" w:rsidRDefault="006C4EB6" w:rsidP="006C4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06" w:type="dxa"/>
          </w:tcPr>
          <w:p w:rsidR="006C4EB6" w:rsidRPr="006C4EB6" w:rsidRDefault="006C4EB6" w:rsidP="006C4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62245" cy="1828800"/>
            <wp:effectExtent l="0" t="0" r="0" b="0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В результате сдачи обязательных экзаменов получено: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1)  по русскому языку при минимальном количестве баллов – 36, средний балл выпускников школы составил 65,87 балов, что выше на 7, 82 балла в сравнении с прошлым годом (58,05 баллов). У 16 выпускников (53 %) набранный балл выше среднего, в прошлом учебном году таких учащихся было 9, что составляло 47 %.  Кроме того, в этом учебном году все выпускники набрали необходимое количество баллов в основные сроки, тогда как в прошлом году одному выпускнику была организована повторная итоговая аттестация по предмету.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1199"/>
        <w:gridCol w:w="1429"/>
        <w:gridCol w:w="1131"/>
        <w:gridCol w:w="1131"/>
        <w:gridCol w:w="1415"/>
        <w:gridCol w:w="1662"/>
        <w:gridCol w:w="1084"/>
        <w:gridCol w:w="1011"/>
      </w:tblGrid>
      <w:tr w:rsidR="006C4EB6" w:rsidRPr="006C4EB6" w:rsidTr="00CA635D">
        <w:trPr>
          <w:jc w:val="center"/>
        </w:trPr>
        <w:tc>
          <w:tcPr>
            <w:tcW w:w="835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62" w:type="dxa"/>
            <w:gridSpan w:val="8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русский язык</w:t>
            </w:r>
          </w:p>
        </w:tc>
      </w:tr>
      <w:tr w:rsidR="006C4EB6" w:rsidRPr="006C4EB6" w:rsidTr="00CA635D">
        <w:trPr>
          <w:jc w:val="center"/>
        </w:trPr>
        <w:tc>
          <w:tcPr>
            <w:tcW w:w="835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429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набравших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выше минимума</w:t>
            </w:r>
          </w:p>
        </w:tc>
        <w:tc>
          <w:tcPr>
            <w:tcW w:w="1131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общего кол-ва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131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3077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 школьного балла</w:t>
            </w:r>
          </w:p>
        </w:tc>
        <w:tc>
          <w:tcPr>
            <w:tcW w:w="1084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11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</w:tr>
      <w:tr w:rsidR="006C4EB6" w:rsidRPr="006C4EB6" w:rsidTr="00CA635D">
        <w:trPr>
          <w:jc w:val="center"/>
        </w:trPr>
        <w:tc>
          <w:tcPr>
            <w:tcW w:w="835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6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общего кол-ва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084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83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9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58,05</w:t>
            </w:r>
          </w:p>
        </w:tc>
        <w:tc>
          <w:tcPr>
            <w:tcW w:w="141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8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EB6" w:rsidRPr="006C4EB6" w:rsidTr="00CA635D">
        <w:trPr>
          <w:jc w:val="center"/>
        </w:trPr>
        <w:tc>
          <w:tcPr>
            <w:tcW w:w="83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9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65,87</w:t>
            </w:r>
          </w:p>
        </w:tc>
        <w:tc>
          <w:tcPr>
            <w:tcW w:w="141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8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2)  по математике при минимальном количестве баллов – 21, средний балл выпускников школы составил 54,73 балла. Также как и в прошлом году у 16 выпускников (53 %) набранный балл выше среднего по школе.  В этом учебном году все выпускники набрали необходимое количество баллов в основные сроки, тогда как в прошлом году одному выпускнику была организована повторная итоговая аттестация по предмету.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1199"/>
        <w:gridCol w:w="1429"/>
        <w:gridCol w:w="1131"/>
        <w:gridCol w:w="1131"/>
        <w:gridCol w:w="1415"/>
        <w:gridCol w:w="1662"/>
        <w:gridCol w:w="1084"/>
        <w:gridCol w:w="1011"/>
      </w:tblGrid>
      <w:tr w:rsidR="006C4EB6" w:rsidRPr="006C4EB6" w:rsidTr="00CA635D">
        <w:trPr>
          <w:jc w:val="center"/>
        </w:trPr>
        <w:tc>
          <w:tcPr>
            <w:tcW w:w="835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62" w:type="dxa"/>
            <w:gridSpan w:val="8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математика</w:t>
            </w:r>
          </w:p>
        </w:tc>
      </w:tr>
      <w:tr w:rsidR="006C4EB6" w:rsidRPr="006C4EB6" w:rsidTr="00CA635D">
        <w:trPr>
          <w:jc w:val="center"/>
        </w:trPr>
        <w:tc>
          <w:tcPr>
            <w:tcW w:w="835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429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набравших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выше минимума</w:t>
            </w:r>
          </w:p>
        </w:tc>
        <w:tc>
          <w:tcPr>
            <w:tcW w:w="1131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общего кол-ва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131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3077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 школьного балла</w:t>
            </w:r>
          </w:p>
        </w:tc>
        <w:tc>
          <w:tcPr>
            <w:tcW w:w="1084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11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</w:tr>
      <w:tr w:rsidR="006C4EB6" w:rsidRPr="006C4EB6" w:rsidTr="00CA635D">
        <w:trPr>
          <w:jc w:val="center"/>
        </w:trPr>
        <w:tc>
          <w:tcPr>
            <w:tcW w:w="835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6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общего кол-ва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084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83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9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141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8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EB6" w:rsidRPr="006C4EB6" w:rsidTr="00CA635D">
        <w:trPr>
          <w:jc w:val="center"/>
        </w:trPr>
        <w:tc>
          <w:tcPr>
            <w:tcW w:w="83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9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54,73</w:t>
            </w:r>
          </w:p>
        </w:tc>
        <w:tc>
          <w:tcPr>
            <w:tcW w:w="141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8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Т.о. все выпускники 11 класса сдали итоговую аттестацию в основные сроки  и получили аттестаты о среднем (полном) общем образовании.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По всем шести выбранным предметам все выпускники 11 класса набрали количество баллов выше минимального, тогда как в прошлом году  лишь по трем предметам из семи все выпускники набрали необходимое количество баллов.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668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000"/>
        <w:gridCol w:w="728"/>
        <w:gridCol w:w="1318"/>
        <w:gridCol w:w="918"/>
        <w:gridCol w:w="879"/>
        <w:gridCol w:w="1347"/>
        <w:gridCol w:w="811"/>
        <w:gridCol w:w="1347"/>
        <w:gridCol w:w="779"/>
      </w:tblGrid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миним</w:t>
            </w:r>
            <w:proofErr w:type="spellEnd"/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набравших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минимум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 от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кол-ва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вып-ков</w:t>
            </w:r>
            <w:proofErr w:type="spellEnd"/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набравших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 от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кол-ва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вып-ков</w:t>
            </w:r>
            <w:proofErr w:type="spellEnd"/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40,75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59,83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59,38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45,56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48,67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509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6" w:type="dxa"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Результаты, полученные по русскому языку в школе, выше результатов полученных в районе. Из</w:t>
      </w:r>
      <w:proofErr w:type="gramStart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-- </w:t>
      </w:r>
      <w:proofErr w:type="gramEnd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>школ наша школа занимает -- строку в районе по показателю   среднего балла. Так, средний балл в районе составил</w:t>
      </w:r>
      <w:proofErr w:type="gramStart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-- </w:t>
      </w:r>
      <w:proofErr w:type="gramEnd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>балла, в школе 65,87</w:t>
      </w:r>
    </w:p>
    <w:p w:rsidR="006C4EB6" w:rsidRPr="006C4EB6" w:rsidRDefault="006C4EB6" w:rsidP="006C4E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149090" cy="1612900"/>
            <wp:effectExtent l="0" t="0" r="0" b="0"/>
            <wp:docPr id="29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   По  математике средний балл района ---  баллов, школьный бал 54,73, что </w:t>
      </w:r>
      <w:proofErr w:type="gramStart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-- баллов выше. Из</w:t>
      </w:r>
      <w:proofErr w:type="gramStart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-- </w:t>
      </w:r>
      <w:proofErr w:type="gramEnd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школ наша школа занимает -- строку в районе по этому показателю. </w:t>
      </w:r>
    </w:p>
    <w:p w:rsidR="006C4EB6" w:rsidRPr="006C4EB6" w:rsidRDefault="006C4EB6" w:rsidP="006C4E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149090" cy="1612900"/>
            <wp:effectExtent l="0" t="0" r="0" b="0"/>
            <wp:docPr id="30" name="Объект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В следующем учебном году необходимо продолжить работу по подготовке обучающихся к сдаче экзаменов в форме ЕГЭ с целью повышения успеваемости выпускников.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Выпускники 9 классов показали хорошие результаты на обязательных письменных экзаменах, так % качества по алгебре составил 53 % , а по русскому языку 72 %, 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учащихся составила 100%. По результатам сдачи обязательных экзаменов 5 выпускников по алгебре (16 %) и 4 выпускника по русскому языку (13 %) повысили годовые отметки. Но по одному выпускнику по каждому предмету не подтвердили свои годовые отметки.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По результатам экзаменов по выбору, сданных в традиционной форме, выпускники 9 классов показали результаты, подтверждающие свои годовые отметки, или повысили по предметам: литературе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Булынина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Л.М.), истории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Растворцева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Н.Ф. и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Сухоненко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И.А.), обществознанию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Сухоненко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И.А.), геометрии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. Федоренко Е.Ф.), физике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. Волкова О.В.), географии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Семенюк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И.А.).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По черчению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Попова С.Я.), информатике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Рубан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С.В.), обществознанию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Растворцева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Н.Ф.) и физической 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культуре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Гайдаревская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М.А.), соответственно 43 %, 14 %, 4 %  и 18 % выпускников понизили свои годовые отметки. Так,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10123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279"/>
        <w:gridCol w:w="1134"/>
        <w:gridCol w:w="860"/>
        <w:gridCol w:w="1134"/>
        <w:gridCol w:w="862"/>
        <w:gridCol w:w="1307"/>
        <w:gridCol w:w="910"/>
        <w:gridCol w:w="1134"/>
      </w:tblGrid>
      <w:tr w:rsidR="006C4EB6" w:rsidRPr="006C4EB6" w:rsidTr="00CA635D">
        <w:trPr>
          <w:jc w:val="center"/>
        </w:trPr>
        <w:tc>
          <w:tcPr>
            <w:tcW w:w="503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79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994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  <w:tc>
          <w:tcPr>
            <w:tcW w:w="2169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2044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 от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кол-ва 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 от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кол-ва 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 от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кол-ва 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</w:tr>
      <w:tr w:rsidR="006C4EB6" w:rsidRPr="006C4EB6" w:rsidTr="00CA635D">
        <w:trPr>
          <w:trHeight w:val="149"/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4EB6" w:rsidRPr="006C4EB6" w:rsidTr="00CA635D">
        <w:trPr>
          <w:jc w:val="center"/>
        </w:trPr>
        <w:tc>
          <w:tcPr>
            <w:tcW w:w="50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В этом учебном году продолжена работа с участниками образовательного процесса по разъяснению действующей нормативной базы, регулирующей организацию и проведение государственной (итоговой) аттестации, в том числе  с использованием независимой оценки качества образования и введения единого государственного экзамена в штатный режим за курс средней (полной) школы. Проведены 4 заседания педагогического всеобуча, причем 3 из них проводилось классными руководителями, 1 – руководителем учебной части. Одно заседание педагогического всеобуча рассматривало вопрос о введении новой формы итоговой аттестации выпускников основной школы. На основании заявлений родителей и выпускников 9-ых классов в школе сдача экзаменов за курс основной школы проводилась в традиционной форме. Но на заседаниях МО учителями-предметниками были изучены нормативные документы, регулирующие проведение экзамена в новой форме.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Следует отметить, что в сравнении с прошлым учебным годом интерес родителей к вопросам итоговой аттестации снизился, о чем свидетельствует снижение  уровня посещаемости родительских собраний в сравнении с прошлыми учебными годами. Так,</w:t>
      </w:r>
    </w:p>
    <w:tbl>
      <w:tblPr>
        <w:tblW w:w="8966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1245"/>
        <w:gridCol w:w="1156"/>
        <w:gridCol w:w="1757"/>
        <w:gridCol w:w="1274"/>
        <w:gridCol w:w="1771"/>
      </w:tblGrid>
      <w:tr w:rsidR="006C4EB6" w:rsidRPr="006C4EB6" w:rsidTr="00CA635D">
        <w:trPr>
          <w:jc w:val="center"/>
        </w:trPr>
        <w:tc>
          <w:tcPr>
            <w:tcW w:w="176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24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15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вып-ков</w:t>
            </w:r>
            <w:proofErr w:type="spellEnd"/>
          </w:p>
        </w:tc>
        <w:tc>
          <w:tcPr>
            <w:tcW w:w="175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27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среднем</w:t>
            </w:r>
          </w:p>
        </w:tc>
        <w:tc>
          <w:tcPr>
            <w:tcW w:w="177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% </w:t>
            </w: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кол-во родит.</w:t>
            </w:r>
          </w:p>
        </w:tc>
      </w:tr>
      <w:tr w:rsidR="006C4EB6" w:rsidRPr="006C4EB6" w:rsidTr="00CA635D">
        <w:trPr>
          <w:jc w:val="center"/>
        </w:trPr>
        <w:tc>
          <w:tcPr>
            <w:tcW w:w="176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2007 – 2008</w:t>
            </w:r>
          </w:p>
        </w:tc>
        <w:tc>
          <w:tcPr>
            <w:tcW w:w="124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27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7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C4EB6" w:rsidRPr="006C4EB6" w:rsidTr="00CA635D">
        <w:trPr>
          <w:jc w:val="center"/>
        </w:trPr>
        <w:tc>
          <w:tcPr>
            <w:tcW w:w="176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2008 – 2009</w:t>
            </w:r>
          </w:p>
        </w:tc>
        <w:tc>
          <w:tcPr>
            <w:tcW w:w="124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C4EB6" w:rsidRPr="006C4EB6" w:rsidTr="00CA635D">
        <w:trPr>
          <w:jc w:val="center"/>
        </w:trPr>
        <w:tc>
          <w:tcPr>
            <w:tcW w:w="1763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2009 - 2010</w:t>
            </w:r>
          </w:p>
        </w:tc>
        <w:tc>
          <w:tcPr>
            <w:tcW w:w="1245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5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  Одним из направлений работы учебной части по повышению качества образования в школе является  предупреждение пропусков учебных занятий учащимися. Сложившаяся в школе система деятельности по  предупреждению пропусков учебных занятий, привела к уменьшению количества учащихся, имеющих пропуски без уважительных причин.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761"/>
        <w:gridCol w:w="1074"/>
        <w:gridCol w:w="2409"/>
      </w:tblGrid>
      <w:tr w:rsidR="006C4EB6" w:rsidRPr="006C4EB6" w:rsidTr="00CA635D">
        <w:trPr>
          <w:jc w:val="center"/>
        </w:trPr>
        <w:tc>
          <w:tcPr>
            <w:tcW w:w="1844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26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483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уч-ся, имеющие взыскания</w:t>
            </w:r>
          </w:p>
        </w:tc>
      </w:tr>
      <w:tr w:rsidR="006C4EB6" w:rsidRPr="006C4EB6" w:rsidTr="00CA635D">
        <w:trPr>
          <w:jc w:val="center"/>
        </w:trPr>
        <w:tc>
          <w:tcPr>
            <w:tcW w:w="1844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%, от общего кол-ва</w:t>
            </w:r>
          </w:p>
        </w:tc>
      </w:tr>
      <w:tr w:rsidR="006C4EB6" w:rsidRPr="006C4EB6" w:rsidTr="00CA635D">
        <w:trPr>
          <w:jc w:val="center"/>
        </w:trPr>
        <w:tc>
          <w:tcPr>
            <w:tcW w:w="184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 – 2008 </w:t>
            </w:r>
          </w:p>
        </w:tc>
        <w:tc>
          <w:tcPr>
            <w:tcW w:w="62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7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6C4EB6" w:rsidRPr="006C4EB6" w:rsidTr="00CA635D">
        <w:trPr>
          <w:jc w:val="center"/>
        </w:trPr>
        <w:tc>
          <w:tcPr>
            <w:tcW w:w="184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 – 2009 </w:t>
            </w:r>
          </w:p>
        </w:tc>
        <w:tc>
          <w:tcPr>
            <w:tcW w:w="62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07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4EB6" w:rsidRPr="006C4EB6" w:rsidTr="00CA635D">
        <w:trPr>
          <w:jc w:val="center"/>
        </w:trPr>
        <w:tc>
          <w:tcPr>
            <w:tcW w:w="184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 – 2010 </w:t>
            </w:r>
          </w:p>
        </w:tc>
        <w:tc>
          <w:tcPr>
            <w:tcW w:w="626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7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Однако, данные представляемые классными руководителями по учету пропусков учебных занятий, оказываются в ряде случаев несвоевременными.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Поэтому в следующем учебном году необходимо продолжать работу с учащимися, их родителями и классными руководителями по предупреждению пропусков учебных занятий без уважительных причин и запланировать осуществление контроля работы классных руководителей по принятию своевременных мер по обеспечению посещаемости учебных занятий учащимися.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Учебной частью совместно с классными руководителями и учителями</w:t>
      </w: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культуры систематически проводится работа с обучающимися, отнесенными к  различным видам физкультурных групп. Несмотря на увеличение в 2007 – 08 учебном год количества учащихся освобожденных от занятий по физкультуре, в прошлом и в этом учебном году количество этих учащихся значительно уменьшилось.  Так, в этом учебном году есть только один   учащийся с заболеванием, предусматривающим освобождение от физической культуры (0,3 % от 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школы)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773"/>
        <w:gridCol w:w="1150"/>
        <w:gridCol w:w="1244"/>
        <w:gridCol w:w="1283"/>
        <w:gridCol w:w="1112"/>
        <w:gridCol w:w="1603"/>
        <w:gridCol w:w="1084"/>
      </w:tblGrid>
      <w:tr w:rsidR="006C4EB6" w:rsidRPr="006C4EB6" w:rsidTr="00CA635D">
        <w:trPr>
          <w:jc w:val="center"/>
        </w:trPr>
        <w:tc>
          <w:tcPr>
            <w:tcW w:w="121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7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07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6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</w:t>
            </w:r>
            <w:proofErr w:type="spellEnd"/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вительная</w:t>
            </w:r>
            <w:proofErr w:type="spellEnd"/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%, занимаю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физрой</w:t>
            </w:r>
            <w:proofErr w:type="spellEnd"/>
          </w:p>
        </w:tc>
        <w:tc>
          <w:tcPr>
            <w:tcW w:w="140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освобождены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от уроков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97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</w:t>
            </w:r>
            <w:proofErr w:type="spellEnd"/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денных</w:t>
            </w:r>
          </w:p>
        </w:tc>
      </w:tr>
      <w:tr w:rsidR="006C4EB6" w:rsidRPr="006C4EB6" w:rsidTr="00CA635D">
        <w:trPr>
          <w:jc w:val="center"/>
        </w:trPr>
        <w:tc>
          <w:tcPr>
            <w:tcW w:w="121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2007-08</w:t>
            </w:r>
          </w:p>
        </w:tc>
        <w:tc>
          <w:tcPr>
            <w:tcW w:w="77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7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6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4EB6" w:rsidRPr="006C4EB6" w:rsidTr="00CA635D">
        <w:trPr>
          <w:jc w:val="center"/>
        </w:trPr>
        <w:tc>
          <w:tcPr>
            <w:tcW w:w="121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2008-09</w:t>
            </w:r>
          </w:p>
        </w:tc>
        <w:tc>
          <w:tcPr>
            <w:tcW w:w="77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07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6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C4EB6" w:rsidRPr="006C4EB6" w:rsidTr="00CA635D">
        <w:trPr>
          <w:jc w:val="center"/>
        </w:trPr>
        <w:tc>
          <w:tcPr>
            <w:tcW w:w="121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77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7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164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03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Снижение данных показателей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в том числе и следствием  работы по реализации действующей в школе программы  «Здоровье»,  основной целью которой является создание в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НОКе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 - педагогических, санитарно - гигиенических и других условий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, учитывающих индивидуальные показатели состояния здоровья обучающихся. В результате совместной деятельности администрации,  учителей- предметников, классных руководителей,  медицинской сестры и работников столовой: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- обеспечивался медицинский контроль  состояния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- сделаны плановые прививки учащимся по согласованию с родителями, (число отказов родителей  от прививок детям, к сожалению, за последние годы не уменьшается и составляет 8 % от числа обучающихся школы).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Коллективу школы необходимо продолжить проведение мероприятий по реализации программы «Здоровье» в предстоящем учебном году, в том числе и через совместную с медицинскими работниками просветительскую работу по данному направлению;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- организовать горячее питание для учащихся школы, не снижая показателей (питанием было охвачено в течение года 75 – 80 % детей).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-  разработать нормативные документы по регулированию деятельности общественного Совета по здоровью, регулярно проводить его заседания.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В этом учебном году,  в соответствии с планом работы на год, разработана  система мониторинга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оздоровленности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учащихся, которая обсуждалась на заседании педагогического совета школы. Однако оформление этой системы не закончено, результаты мониторинга в конце учебного года не проанализированы, поэтому в начале предстоящего учебного года необходимо   определить направления деятельности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педколлектива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и выработать план мероприятий для обеспечения мониторинга.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>Анализ медицинских заключений учащихся в прошедшем учебном году позволяет сделать следующие выводы: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-  в течение уже двух лет не зарегистрировано  ни одного случая заболевания учащихся вирусным гепатитом</w:t>
      </w:r>
      <w:proofErr w:type="gramStart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ветряной оспой,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-  количество обучающихся, состоящих на диспансерном учете по разным категориям заболевания уменьшилось в два раза в сравнении с предыдущими годами. Так,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1179"/>
        <w:gridCol w:w="1179"/>
        <w:gridCol w:w="1179"/>
        <w:gridCol w:w="1179"/>
        <w:gridCol w:w="1179"/>
        <w:gridCol w:w="993"/>
      </w:tblGrid>
      <w:tr w:rsidR="006C4EB6" w:rsidRPr="006C4EB6" w:rsidTr="00CA635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2006/07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%, от общего кол-ва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2008/09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%, от общего кол-ва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2009/10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%, от общего кол-ва</w:t>
            </w:r>
          </w:p>
        </w:tc>
      </w:tr>
      <w:tr w:rsidR="006C4EB6" w:rsidRPr="006C4EB6" w:rsidTr="00CA635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 учащихся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472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379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Больных детей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8,4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  Учащиеся школы имеют следующие заболевания: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1296"/>
        <w:gridCol w:w="1296"/>
        <w:gridCol w:w="1297"/>
        <w:gridCol w:w="1296"/>
        <w:gridCol w:w="1296"/>
        <w:gridCol w:w="1297"/>
      </w:tblGrid>
      <w:tr w:rsidR="006C4EB6" w:rsidRPr="006C4EB6" w:rsidTr="00CA635D"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заболеваний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2007/08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2008/09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2009/10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6C4EB6" w:rsidRPr="006C4EB6" w:rsidTr="00CA635D">
        <w:tc>
          <w:tcPr>
            <w:tcW w:w="2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заболев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от общего кол-ва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заболев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от общего кол-ва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заболев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от общего кол-ва 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Гастрит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Лор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ЦНС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6???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Сердечные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Эндокринные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 xml:space="preserve">    Данные в таблице показатели свидетельствуют о том, что ежегодно увеличивается количество учащихся заболевающих ОРВИ, но по остальным типам заболеваний количество учащихся уменьшается.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В этом учебном году методическая работа школы реализовывалась по плану, утвержденному на начало учебного года. Продолжена деятельность МО учителей школы, регулируемая нормативными документами, которые наряду с функциональными вопросами изучали возможности проектирования самостоятельной и групповой исследовательской деятельности обучающихся школы и представления ее результатов, изучали нормативные документы по подготовке, организации и проведению государственной (итоговой) аттестации в новой форме за курс основной школы. Проведено шесть заседаний МО, посвященных этим вопросам. Кроме того, в этом учебном году продолжен контроль методической работы учителей-предметников и предметных МО и регулярно на заседаниях педагогического совета школы заслушивались отчеты о результатах методической работы. Но также как и в прошлом году,  отсутствует согласованность деятельности школьных МО с деятельностью районных предметных МО. Поэтому необходимо откорректировать план деятельности школьных  МО в соответствии с районными МО.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С целью решения задачи, определенной на прошедший учебный год, в школе продолжена деятельность учителей-предметников  с «одаренными учащимися» в форме  групповых занятий творческих и проектных групп и индивидуальных занятий в урочное и внеурочное время. В этом учебном году  учителями-предметниками продолжено изучение методических документов по организации деятельности «одаренных детей», но не было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ни одного семинарского занятия. 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Кроме того, деятельность  учителей-предметников по направлению «одаренные дети» по прежнему была направлена в основном  на подготовку учащихся к участию в районной предметной олимпиаде, районных мероприятиях и фестивалях.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В работе творческих групп в этом году 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участвовало 118  учащихся 5-11 классов, что меньше в сравнении с прошлым учебным годом (142 учащийся, участвовавших в работе творческих групп в 2008-2009 учебном году). В этом учебном году, учащиеся школы принимали участие во всех районных мероприятиях.  Участие учащихся школы в районном фестивале по литературе, посвященному юбилею А.П. Чехова, было результативным:  учащиеся заняли призовые места в конкурсах «Всезнайки» (1 место) и «Рисуем Чехова» (1 и 2 места).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Двое учащихся из пяти участвующих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Варава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А. и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Столбюк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О., 10а класс) отмечены грамотами РУО в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филологоисторической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олимпиаде, команда «математиков» школы, приняв участие в районном  туре областного фестиваля юных математиков «Математические бои» в четвертый раз, заняла первое место в районе (2008 – 2009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году было второе место, в 2007 – 2008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. году  –  третье место).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Но все-таки участвует в математических боях традиционно команда 9 – 11 классов, основной состав которой выпущен из школы, а команда 7 – 8 классов не представлена. Команда учащихся 5 – 6 классов в математической олимпиаде призовых мест не заняла. Кроме того, школа в этом учебном году не приняла участие в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геологогеографической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олимпиаде. Поэтому следует указать на не достаточную  подготовку учащихся учителями школы к такому роду мероприятиям и недостаточную организацию участия учащихся в таких мероприятиях.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По итогам участия учащихся школы во </w:t>
      </w:r>
      <w:r w:rsidRPr="006C4EB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этапе Всероссийской  олимпиады школьников получен, в сравнении с прошлым учебным годом,  положительный  результат – 4 учащихся заняли призовые места - первые места по литературе 10 класс (учитель 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Булынина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Л.М.) и по математике 8 класс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Федоренко Е.Ф.), вторые места по английскому языку 11 класс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Рубан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Д.А.) и по обществознанию 11 класс (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Сухоненко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И.А.),  - в прошлом учебном году школой было занято лишь одно призовое место. 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8"/>
        <w:gridCol w:w="1211"/>
        <w:gridCol w:w="1211"/>
        <w:gridCol w:w="1211"/>
        <w:gridCol w:w="1211"/>
        <w:gridCol w:w="1211"/>
        <w:gridCol w:w="1211"/>
      </w:tblGrid>
      <w:tr w:rsidR="006C4EB6" w:rsidRPr="006C4EB6" w:rsidTr="00CA635D">
        <w:trPr>
          <w:jc w:val="center"/>
        </w:trPr>
        <w:tc>
          <w:tcPr>
            <w:tcW w:w="2378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422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2007-08 учебный год</w:t>
            </w:r>
          </w:p>
        </w:tc>
        <w:tc>
          <w:tcPr>
            <w:tcW w:w="2422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2008-09 учебный год</w:t>
            </w:r>
          </w:p>
        </w:tc>
        <w:tc>
          <w:tcPr>
            <w:tcW w:w="2422" w:type="dxa"/>
            <w:gridSpan w:val="2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2009-10 учебный год</w:t>
            </w: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  <w:vMerge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EB6" w:rsidRPr="006C4EB6" w:rsidTr="00CA635D">
        <w:trPr>
          <w:jc w:val="center"/>
        </w:trPr>
        <w:tc>
          <w:tcPr>
            <w:tcW w:w="2378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        С целью реализации задачи образовательной политики по выявлению и поддержке наиболее одаренных и талантливых детей и реализации программы «Одаренные дети» в школе в этом учебном году разработано школьное положение о предметных олимпиадах, урегулированы в соответствии с районным положением порядок и сроки ее проведения. Необходимо в следующем учебном году продолжить работу с «одаренными учащимися» в форме урочных и внеурочных занятий творческих и проектных групп учащихся.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время, как и прежде, актуальными вопросами, решаемыми в школе, являются вопросы обеспечения безопасности участников образовательного процесса.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В связи с этим в школе постоянно совершенствуется система безопасности, включающая в себя меры по обеспечению:</w:t>
      </w:r>
    </w:p>
    <w:p w:rsidR="006C4EB6" w:rsidRPr="006C4EB6" w:rsidRDefault="006C4EB6" w:rsidP="006C4E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противодействия терроризму во всех его проявлениях;</w:t>
      </w:r>
    </w:p>
    <w:p w:rsidR="006C4EB6" w:rsidRPr="006C4EB6" w:rsidRDefault="006C4EB6" w:rsidP="006C4E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пожарной безопасности;</w:t>
      </w:r>
    </w:p>
    <w:p w:rsidR="006C4EB6" w:rsidRPr="006C4EB6" w:rsidRDefault="006C4EB6" w:rsidP="006C4E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безопасности на дорогах и воде;</w:t>
      </w:r>
    </w:p>
    <w:p w:rsidR="006C4EB6" w:rsidRPr="006C4EB6" w:rsidRDefault="006C4EB6" w:rsidP="006C4E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охраны труда и безопасной организации образовательного процесса в школе;</w:t>
      </w:r>
    </w:p>
    <w:p w:rsidR="006C4EB6" w:rsidRPr="006C4EB6" w:rsidRDefault="006C4EB6" w:rsidP="006C4E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комфортного пребывания участников образовательного процесса в школе.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комплексная программа «Безопасность в МОУ ПСОШ «НОК», составленная с учетом основных федеральных нормативно-правовых документов РФ в области безопасности, имеющая 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lastRenderedPageBreak/>
        <w:t>своей основной целью обеспечение безопасных условий проведения образовательного процесса и охрану жизни и здоровья всех участников образовательного процесса, включающую организационные мероприятия, разъяснительно - пропагандистскую и профилактическую работу, учебно-эвакуационные мероприятия и материально-техническое оснащение школы;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а также мероприятия, требуемые приказами школы, регулирующими данное направление.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реализации программы и плана мероприятий для усиления безопасности образовательного процесса предприняты всевозможные меры: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откорректированы нормативные документы по противопожарной безопасности;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разработан и утвержден приказом расчет по проведению экстренной эвакуации при пожаре на территории НОК;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работает система видеонаблюдения, позволяющая контролировать безопасность образовательного процесса на территории и в здании школы;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отлажена работа пропускной системы в здание школы и контролируемого въезда транспорта на территорию школьного двора;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зачетная система проверки знаний по охране труда и ТБ, пожарной безопасности, антитеррористической безопасности и оказанию первой медицинской помощи при ЧС; 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реализуются графики организации профилактической работы по обеспечению пожарной безопасности;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спланировано и осуществлено (согласно графику) проведение занятий по практической отработке навыков поведения в ЧС;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изучаются памятки по действиям работников и должностных лиц при угрозе террористического акта;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ведутся  журналы инструктажей, соответствующей формы,  для всех категорий участников образовательного процесса;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в курсе ОБЖ включены занятия по вопросам борьбы с терроризмом и действий в чрезвычайных ситуациях;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при проведении праздничных мероприятий, праздников, в период школьных каникул администрацией школы принимаются дополнительные меры, направленные на усиление безопасности: издаются соответствующие приказы, проводятся инструктажи с сотрудниками и учащимися и организовывается дежурство работников школы в период каникул;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территория школы оборудована наружным освещением и освещением на каждом этаже;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на каждом этаже имеются информационные стенды, на которых размещены памятки, инструкции для учащихся и педагогических работников о действиях при ЧС;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в повестку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педвсеобучей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включены профилактические беседы с родителями по безопасности детей в школе и дома, об уголовной ответственности подростков в возрасте от 14 до 18 лет за ложные сообщения и о возмещении затрат за проведение поисковых мероприятий, охрану места происшествия;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по вопросам обеспечения жизни и здоровья детей осуществляется постоянное взаимодействие с правоохранительными органами (дежурство работников РОВД).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проверок сотрудниками РОВД мер по противодействию терроризма   отметили положительную работу школы в данном направлении.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для выполнения противопожарных мероприятий: вывешены таблицы- указатели  путей эвакуации, нахождения средств пожаротушения, телефонов; утверждены  планы эвакуации на случай возникновения пожара;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для привлечения персонала к работе по предупреждению и борьбе с пожарами на объектах создана  добровольная пожарная дружина;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созданы постоянно действующая  пожарно-техническая комиссия по предупреждению и борьбе с пожарами на объектах школы;   откорректировано и утверждено положение о  пожарно-технической комиссии; 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осуществляется систематический контроль состояния путей эвакуации из школы;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обновлены средства наглядной агитации по теме пожарной безопасности; 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утвержденным графиком проведена практическая отработка планов эвакуации людей   на случай  возникновения пожара;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систематически проверяется установленная звуковая система оповещения людей при возникновении пожара;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назначены приказом ответственные за обесточивание электрооборудования;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приведена  в соответствие  с нормативно-правовыми  документами РФ документация по обеспечению безопасности  участников образовательного процесса,</w:t>
      </w:r>
    </w:p>
    <w:p w:rsidR="006C4EB6" w:rsidRPr="006C4EB6" w:rsidRDefault="006C4EB6" w:rsidP="006C4E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проведены в соответствии с планом работы на 2009 -10 учебный год теоретические и  практические занятия с  учащимися, работниками и педагогическим составом школы с целью обучения основным правилам пожарной безопасности и действиям в случае возникновения пожара.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Все предпринимаемые меры способствуют сохранению безопасного пребывания учащихся и работников в школе.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       Однако, несмотря на проводимые мероприятия по безопасности ОП надо отметить, что  нарушается график  проведения учебно-тренировочных занятий с постоянным составом школы. Кроме того, необходимо разработать расчет по проведению экстренной эвакуации при ЧС на территории НОК и памятку для учащихся по правилам поведения при ЧС.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C4EB6">
        <w:rPr>
          <w:rFonts w:ascii="Times New Roman" w:eastAsia="Times New Roman" w:hAnsi="Times New Roman" w:cs="Times New Roman"/>
          <w:sz w:val="24"/>
          <w:szCs w:val="24"/>
        </w:rPr>
        <w:tab/>
        <w:t xml:space="preserve"> В течение года для проведения бесед и занятий с учащимися и сотрудниками школы не привлекались сотрудники ГО и ЧС, ГИБДД  и РОВД. Допускается парковка  машин вне списочного состава государственных номеров  около  школы. Не  всегда  распашные решетки во время занятий в школе содержатся с открытыми замковыми устройствами  и запираются снова по окончанию занятий, тем самым нарушается выполнение приказа. На дверях запасных выходов, чердачных помещений, подвалов срываются и вовремя  не восстанавливаются таблички с указанием фамилии и инициалов ответственного за эти помещения.  Поэтому в следующем учебном году необходимо спланировать работу по безопасности ОП в МОУ ПСОШ «НОК» с учетом всех недостатков.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С целью создания условий для сохранения здоровья и жизнедеятельности, обучающихся и работников школы в течение учебного года были выполнены следующие мероприятия:</w:t>
      </w:r>
    </w:p>
    <w:p w:rsidR="006C4EB6" w:rsidRPr="006C4EB6" w:rsidRDefault="006C4EB6" w:rsidP="006C4EB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приказом № 1 утвержден новый состав по охране труда и возложена ответственность за обеспечение безопасной жизнедеятельности на педагогических работников, а также изданы все требуемые приказы, регулирующие данное направление;</w:t>
      </w:r>
    </w:p>
    <w:p w:rsidR="006C4EB6" w:rsidRPr="006C4EB6" w:rsidRDefault="006C4EB6" w:rsidP="006C4EB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проведены и зафиксированы в соответствующих документах все плановые и 4 внеплановых и целевых инструктажей  по ТБ;</w:t>
      </w:r>
    </w:p>
    <w:p w:rsidR="006C4EB6" w:rsidRPr="006C4EB6" w:rsidRDefault="006C4EB6" w:rsidP="006C4EB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проведены зачеты с персоналом школы по  ТБ, во время проведения которых отмечен  высокий уровень ответственности сотрудников школы. Осуществлены плановые проверки проведения классными руководителями и учителями инструктажей с учащимися.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В ходе указанных проверок факторов безответственного отношения должностных лиц не обнаружено. Данный результат является следствием систематической деятельности учителей по данному вопросу в течение последних семи лет.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Кроме того, в прошедшем учебном году были откорректированы инструкции: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по охране труда при проведении массовых мероприятий (вечеров, утренников, фестивалей, конкурсов, конференций, слетов, и др.),</w:t>
      </w:r>
      <w:proofErr w:type="gramEnd"/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по охране труда при проведении занятий по спортивным и подвижным играм (футбол, волейбол, баскетбол, теннис и др.),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по охране труда для учителя (преподавателя) образовательного учреждения.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Но эти инструкции не были согласованы с профсоюзным комитетом школы, а также не были введены  в действие приказом по школе  и не выданы учителям  с регистрацией в журнале учета выдачи инструкций. Поэтому в следующем учебном году необходимо спланировать работу  по данному вопросу в соответствии с нормативной базой по охране труда.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проведенного анализа деятельности учебной части в прошедшем учебном году, необходимо  определить следующие  задачи на 2010-2011 учебный год: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откорректировать образовательную программу НОК, нормативные документы по организации и проведению государственной (итоговой) аттестации;                                                                       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изучение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педколлективом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программы и положение о  социальной практике и организовать деятельность участников образовательного процесса по реализации данного вида деятельности;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организовать деятельность педагогического коллектива по изучению нормативных документов с целью введения новой формы итоговой аттестации выпускников 9 классов;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продолжить работу педагогического коллектива по подготовке выпускников к независимой оценке знаний и осуществлять контроль реализации планов подготовки выпускников  к Г (И) А;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повышению качества образования учащихся по предметам учебного плана посредством заданий, направленных на обучение самостоятельному поиску информации, самостоятельному индивидуальному и коллективному исследованию;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выполнение мероприятий по реализации программы «Здоровье», разработать нормативные документы по регулированию деятельности общественного Совета по здоровью, оформить систему мониторинга </w:t>
      </w:r>
      <w:proofErr w:type="spellStart"/>
      <w:r w:rsidRPr="006C4EB6">
        <w:rPr>
          <w:rFonts w:ascii="Times New Roman" w:eastAsia="Times New Roman" w:hAnsi="Times New Roman" w:cs="Times New Roman"/>
          <w:sz w:val="24"/>
          <w:szCs w:val="24"/>
        </w:rPr>
        <w:t>оздоровленности</w:t>
      </w:r>
      <w:proofErr w:type="spell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продолжить работу с «одаренными учащимися» и выработать систему  поддержки одаренных детей через внеклассные и внеурочные мероприятия в школе;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запланировать проведение семинарских занятий по организации деятельности с одаренными учащимися; 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откорректировать рабочие программы на 2010-2011 учебный год;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>организовать контроль деятельности классных руководителей 8 - 11 классов по принятию своевременных мер по обеспечению посещаемости учебных занятий учащимися;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откорректировать план по реализации программы «Безопасность в МОУ ПСОШ «НОК» и осуществлять контроль его выполнения;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расчет по проведению экстренной эвакуации при ЧС на территории школы;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разработать единую памятку для обучающихся школы по правилам поведения при ЧС;</w:t>
      </w:r>
      <w:proofErr w:type="gramEnd"/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запланировать работу </w:t>
      </w:r>
      <w:proofErr w:type="gramStart"/>
      <w:r w:rsidRPr="006C4EB6">
        <w:rPr>
          <w:rFonts w:ascii="Times New Roman" w:eastAsia="Times New Roman" w:hAnsi="Times New Roman" w:cs="Times New Roman"/>
          <w:sz w:val="24"/>
          <w:szCs w:val="24"/>
        </w:rPr>
        <w:t>по введению в действие инструкций по охране труда в соответствии с нормативной базой</w:t>
      </w:r>
      <w:proofErr w:type="gramEnd"/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НОК;</w:t>
      </w:r>
    </w:p>
    <w:p w:rsidR="006C4EB6" w:rsidRPr="006C4EB6" w:rsidRDefault="006C4EB6" w:rsidP="006C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B6">
        <w:rPr>
          <w:rFonts w:ascii="Times New Roman" w:eastAsia="Times New Roman" w:hAnsi="Times New Roman" w:cs="Times New Roman"/>
          <w:sz w:val="24"/>
          <w:szCs w:val="24"/>
        </w:rPr>
        <w:t xml:space="preserve"> запланировать проведение совместных мероприятий с работниками пожарной охраны, ГО и ЧС, ГИБДД и РОВД  для проведения профилактической работы с учащимися и работниками школы.</w:t>
      </w:r>
    </w:p>
    <w:p w:rsidR="006C4EB6" w:rsidRPr="006C4EB6" w:rsidRDefault="006C4EB6" w:rsidP="006C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Анализ деятельности структуры «Развитие».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 соответствии с требования Закона «Об образовании», типового Положения об общеобразовательных учреждениях, Уставом и Образовательной программой НОК, в начальной школе был организован образовательный  процесс, ориентированный на формирование у учащихся способностей к саморазвитию, самопознанию, к самовоспитанию, к самосовершенствованию через раскрытие творческих и интеллектуальных возможностей.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Учащиеся восьми классов школы 1 ступени «НОК» в количестве 130 человек обучаются по системе развивающего обучения Д.Б.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- В.В. Давыдова. </w:t>
      </w:r>
    </w:p>
    <w:p w:rsidR="006C4EB6" w:rsidRPr="006C4EB6" w:rsidRDefault="006C4EB6" w:rsidP="006C4E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>Педагогический коллектив реализует цели и задачи образовательной программы НОК на основе содержания рабочих программ.</w:t>
      </w:r>
    </w:p>
    <w:p w:rsidR="006C4EB6" w:rsidRPr="006C4EB6" w:rsidRDefault="006C4EB6" w:rsidP="006C4EB6">
      <w:pPr>
        <w:spacing w:after="0" w:line="240" w:lineRule="auto"/>
        <w:ind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2009-2010 учебном году велась по базисным учебным планам 1998г. в 4-ых классах,  2004г. – в 3-их классах годов и </w:t>
      </w:r>
      <w:r w:rsidRPr="006C4EB6">
        <w:rPr>
          <w:rFonts w:ascii="Times New Roman" w:hAnsi="Times New Roman" w:cs="Times New Roman"/>
          <w:color w:val="000000"/>
          <w:sz w:val="24"/>
          <w:szCs w:val="24"/>
        </w:rPr>
        <w:t xml:space="preserve">в 1 и 2-ых классах апробировались Федеральные государственные образовательные стандарты общего образования второго поколения на региональном уровне (по приказу Минобразования области от 28.07.2008 №2213); </w:t>
      </w: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 Учебный план обучающихся  4-х классов, разработанный на основе базисного учебного плана </w:t>
      </w:r>
      <w:smartTag w:uri="urn:schemas-microsoft-com:office:smarttags" w:element="metricconverter">
        <w:smartTagPr>
          <w:attr w:name="ProductID" w:val="1998 г"/>
        </w:smartTagPr>
        <w:r w:rsidRPr="006C4EB6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6C4EB6">
        <w:rPr>
          <w:rFonts w:ascii="Times New Roman" w:hAnsi="Times New Roman" w:cs="Times New Roman"/>
          <w:sz w:val="24"/>
          <w:szCs w:val="24"/>
        </w:rPr>
        <w:t xml:space="preserve">.,  помимо учебных предметов инвариантной части содержал  курсы информатики по 1 часу и по 1 часу интегрированного курса ОБЖ и физической культуры из вариативной части учебного плана. Учебный план обучающихся 3-х классов разработан на основе базисного учебного плана 2004 г., учебный план для 1 и 2-х классов – на основе второго варианта базисного учебного плана Федеральных государственных образовательных стандартов второго поколения. За счет указанных в базисном плане стандартов второго поколения часов реализовывалось не только содержание </w:t>
      </w:r>
      <w:r w:rsidRPr="006C4EB6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определенное инвариантной частью, но и дополнительные образовательные программы раздела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деятельности и воспитательные программы. </w:t>
      </w: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общеобразовательных учреждений РФ организация занятий внеурочной деятельности является неотъемлемой частью образовательного процесса. В школе реализуются следующие виды внеурочной деятельности: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, познавательная,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, спортивно-оздоровительная,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туристко-краеведческая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, художественное и социальное творчество, проблемно-ценностное общение. Разработаны и реализуются программы по следующим направлениям внеурочной деятельности: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, художественно-эстетическое, научно-познавательное, военно-патриотическое, проектная деятельность.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На основании нормативной базы НОК приведены в соответствие утвержденные рабочие программы по предметам, прохождение программного материала соответствует календарно-тематическому планированию. </w:t>
      </w: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 соответствии с планом реализации Программы развития школы изучение некоторых тем учебных предметов было организовано учителями проектным методом, который по технологии близок к технологии развивающего обучения.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В начальной школе образовательный проце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оится в соответствии с периодизацией возрастного развития и определяется специальными Положениями и Инструкциями, созданными в НОК, с опорой на материалы ассоциации «Развивающее обучение», открытого института «Развивающее образование», с учетом материалов Федеральных государственных образовательных стандартов второго поколения. </w:t>
      </w:r>
    </w:p>
    <w:p w:rsidR="006C4EB6" w:rsidRPr="006C4EB6" w:rsidRDefault="006C4EB6" w:rsidP="006C4E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Согласно ст. 15 п. 3 Закона «Об Образовании» и в соответствии с Положениями «НОК» структура работает по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системе оценивания. </w:t>
      </w:r>
    </w:p>
    <w:p w:rsidR="006C4EB6" w:rsidRPr="006C4EB6" w:rsidRDefault="006C4EB6" w:rsidP="006C4E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Оценивание может быть только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критериальным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. Основными критериями выступают планируемые результаты обучения. Оцениваются с помощью отметки только результаты деятельности ученика и процесс их формирования, но не личностные качества ребенка. Система оценивания включает учащихся в контрольно-оценочную деятельность, формируя способности к самоконтролю и самооценке.</w:t>
      </w:r>
    </w:p>
    <w:p w:rsidR="006C4EB6" w:rsidRPr="006C4EB6" w:rsidRDefault="006C4EB6" w:rsidP="006C4E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>Для отслеживания усвоения знаний и умений в начальной школе используется стартовая диагностика, текущее и итоговое оценивание, «портфель» ученика.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На основе полученных предметных знаний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2009-2010 учебного года можно зафиксировать следующие и</w:t>
      </w:r>
      <w:r w:rsidRPr="006C4EB6">
        <w:rPr>
          <w:rFonts w:ascii="Times New Roman" w:hAnsi="Times New Roman" w:cs="Times New Roman"/>
          <w:iCs/>
          <w:sz w:val="24"/>
          <w:szCs w:val="24"/>
        </w:rPr>
        <w:t>тоги успеваемости обучающихся I ступени школы: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7"/>
        <w:gridCol w:w="1180"/>
        <w:gridCol w:w="1369"/>
        <w:gridCol w:w="1228"/>
        <w:gridCol w:w="1464"/>
        <w:gridCol w:w="1133"/>
      </w:tblGrid>
      <w:tr w:rsidR="006C4EB6" w:rsidRPr="006C4EB6" w:rsidTr="00CA635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2007-08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2008-09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2009-10 </w:t>
            </w:r>
            <w:proofErr w:type="spellStart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6C4EB6" w:rsidRPr="006C4EB6" w:rsidTr="00CA635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B6" w:rsidRPr="006C4EB6" w:rsidRDefault="006C4EB6" w:rsidP="006C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4EB6" w:rsidRPr="006C4EB6" w:rsidTr="00CA635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C4EB6" w:rsidRPr="006C4EB6" w:rsidRDefault="006C4EB6" w:rsidP="006C4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Исходя из данных показателей, можно сделать вывод, что начальная школа дает стабильные результаты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и качества знаний учащихся.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Для устранения проблем и трудностей, возникавших у учащихся по изучаемым предметам, в классах РО регулярно проводились коррекционные занятия.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 умение учиться, способность к саморазвитию. Ведущей деятельностью учащихся 1-4 классов является учебная, как особая форма активности, направленная на изменение самого себя. Поэтому главной задачей в этом направлении ставилось раскрытие принципов действия, воспроизводящего научные исследования. Для организации эффективного хода формирования учебной деятельности учителя управляли развитием каждого ученика, вносили коррективы в своё взаимодействие с конкретными учащимися и проводили диагностику их развития, уровень которой отслеживался два раза в год и фиксировался в журнале «Наблюдений за формированием компонентов УД».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Замеры уровня формирования компонентов УД осуществляли учителя на основании своих наблюдений, по результатам контрольных работ и по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опроснику-тэстам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практического руководства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lastRenderedPageBreak/>
        <w:t>Г.В.Репкина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и Е.В.Заики «Оценка уровня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учебной деятельности». Так, в этом учебном году уровень учебно-познавательного интереса возрос у 79%,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- у 80%, учебных действий у 73%, действий контроля у - 62%, действий оценки у 71%.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Индивидуальные способности учащихся  в структуре выявлялись и развивались не только в ходе учебного процесса, но и через деятельность в  7 </w:t>
      </w:r>
      <w:proofErr w:type="spellStart"/>
      <w:proofErr w:type="gramStart"/>
      <w:r w:rsidRPr="006C4EB6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- воспитательных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проектах, реализуемых согласно планов методической работы учителей.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Проект «Одаренные дети» охватил 100% учащихся 2 - 4 классов. Результаты его деятельности были представлены на школьных предметных олимпиадах, в результате которых выявлено 16 одаренных учащихся. Однако этим учащимся не была предоставлена возможность оценить свои возможности на предметных олимпиадах других уровней.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hAnsi="Times New Roman" w:cs="Times New Roman"/>
          <w:sz w:val="24"/>
          <w:szCs w:val="24"/>
        </w:rPr>
        <w:t>Участники долговременного проекта «Как сохранить свое здоровье?» (рук.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Кислица Т.А., Шестопалова В.Ф.) исследовали влияние витаминов на организм человека, выработали рекомендации по их употреблению, выступали перед учащимися и родителями начальной школы, пропагандируя здоровый образ жизни.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 xml:space="preserve">Исследования проекта оформлены в виде УМП, занявшего 1 место на районном конкурсе ИТ. </w:t>
      </w:r>
      <w:proofErr w:type="gramEnd"/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hAnsi="Times New Roman" w:cs="Times New Roman"/>
          <w:sz w:val="24"/>
          <w:szCs w:val="24"/>
        </w:rPr>
        <w:t>Результаты деятельности учащихся 2б класса по проекту «Чайная гостиная» (рук.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Кравченко Г.А.) отмечены 1 местом на школьной научно-практической конференции.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hAnsi="Times New Roman" w:cs="Times New Roman"/>
          <w:sz w:val="24"/>
          <w:szCs w:val="24"/>
        </w:rPr>
        <w:t>УМП по проекту «О чем может рассказать игрушка» (рук.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Федорова С.В.) занял в районном конкурсе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второе место.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hAnsi="Times New Roman" w:cs="Times New Roman"/>
          <w:sz w:val="24"/>
          <w:szCs w:val="24"/>
        </w:rPr>
        <w:t>Долговременный проект «Театр и дети» (рук.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Зеленская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Л.М. и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Комстач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Т.В.), представил авторскую работу - спектакль по противопожарной безопасности учащимся и родителям начальной школы, на районном семинаре по воспитательной работе, на открытии подготовительного класса – 2010.</w:t>
      </w:r>
    </w:p>
    <w:p w:rsidR="006C4EB6" w:rsidRPr="006C4EB6" w:rsidRDefault="006C4EB6" w:rsidP="006C4EB6">
      <w:pPr>
        <w:pStyle w:val="23"/>
        <w:rPr>
          <w:sz w:val="24"/>
          <w:szCs w:val="24"/>
        </w:rPr>
      </w:pPr>
      <w:r w:rsidRPr="006C4EB6">
        <w:rPr>
          <w:sz w:val="24"/>
          <w:szCs w:val="24"/>
        </w:rPr>
        <w:tab/>
        <w:t xml:space="preserve">Недостаточно эффективной и продуктивной надо признать деятельность по реализации творческой части планов методической работы учителей Алексеевой А.Г. и Пономаренко Г.А. </w:t>
      </w:r>
    </w:p>
    <w:p w:rsidR="006C4EB6" w:rsidRPr="006C4EB6" w:rsidRDefault="006C4EB6" w:rsidP="006C4E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С учетом специфики РО актуален вопрос подготовки детей к школе. Поэтому педагогами проведен мониторинг детей дошкольного возраста микрорайона школы. Все дети и их родители персонально были приглашены учителями начальной школы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подготовку к обучению в школе. С этой целью были организованы субботние занятия в «Маминой школе» со стабильным (40) количеством детей и родителей.</w:t>
      </w:r>
    </w:p>
    <w:p w:rsidR="006C4EB6" w:rsidRPr="006C4EB6" w:rsidRDefault="006C4EB6" w:rsidP="006C4E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Приём в начальную школу осуществляется в соответствии с п. 1 ст. 52 Закона «Об образовании», п. 47 и 59 Типового положения об общеобразовательном учреждении, Уставом НОК, п.2 ст.63 Семейного кодекса и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нормами. В соответствии со спецификой организации обучения, согласно рекомендациям новых образовательных стандартов заключается договор  о сотрудничестве школы с родителями. </w:t>
      </w:r>
    </w:p>
    <w:p w:rsidR="006C4EB6" w:rsidRPr="006C4EB6" w:rsidRDefault="006C4EB6" w:rsidP="006C4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Работа с родителями в течение года проводилась в соответствии с программой работы с родителями и ее направлениями:</w:t>
      </w:r>
    </w:p>
    <w:p w:rsidR="006C4EB6" w:rsidRPr="006C4EB6" w:rsidRDefault="006C4EB6" w:rsidP="006C4EB6">
      <w:pPr>
        <w:numPr>
          <w:ilvl w:val="0"/>
          <w:numId w:val="21"/>
        </w:num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информирование родителей (тематические классные собрания, информационная и консультационная помощь);</w:t>
      </w:r>
    </w:p>
    <w:p w:rsidR="006C4EB6" w:rsidRPr="006C4EB6" w:rsidRDefault="006C4EB6" w:rsidP="006C4EB6">
      <w:pPr>
        <w:numPr>
          <w:ilvl w:val="0"/>
          <w:numId w:val="21"/>
        </w:numPr>
        <w:tabs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организация и проведение совместных внеурочных мероприятий (праздники,  экскурсионные поездки);</w:t>
      </w:r>
    </w:p>
    <w:p w:rsidR="006C4EB6" w:rsidRPr="006C4EB6" w:rsidRDefault="006C4EB6" w:rsidP="006C4EB6">
      <w:pPr>
        <w:numPr>
          <w:ilvl w:val="0"/>
          <w:numId w:val="21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проведение творческих отчетов.</w:t>
      </w:r>
    </w:p>
    <w:p w:rsidR="006C4EB6" w:rsidRPr="006C4EB6" w:rsidRDefault="006C4EB6" w:rsidP="006C4EB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Система развивающего обучения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Д.Б.Эльконина-В.В.Давыдова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требует от педагога умения строить и отличать собственную деятельность от деятельности детей (коллективной и индивидуальной), видеть и понимать развивающееся детское действие, оценивать результат своего педагогического мастерства. Поэтому в структуре «Развитие» проводились семинарские занятия, включающие теоретические сообщения, педагогические находки и затруднения. Основным направлением методической деятельности учителей в 2009-10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. был анализ материалов Федерального государственного образовательного стандарта второго поколения и его апробация.</w:t>
      </w:r>
    </w:p>
    <w:p w:rsidR="006C4EB6" w:rsidRPr="006C4EB6" w:rsidRDefault="006C4EB6" w:rsidP="006C4EB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Неклиновский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образовательный комплекс с июня 2008г. является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площадкой по апробации Государственных образовательных стандартов второго поколения. Апробировался стандарт как совокупность трех систем требований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4EB6" w:rsidRPr="006C4EB6" w:rsidRDefault="006C4EB6" w:rsidP="006C4EB6">
      <w:pPr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- к структуре основных образовательных программ;</w:t>
      </w:r>
    </w:p>
    <w:p w:rsidR="006C4EB6" w:rsidRPr="006C4EB6" w:rsidRDefault="006C4EB6" w:rsidP="006C4EB6">
      <w:pPr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lastRenderedPageBreak/>
        <w:t>- к результатам освоения основных учебных программ;</w:t>
      </w:r>
    </w:p>
    <w:p w:rsidR="006C4EB6" w:rsidRPr="006C4EB6" w:rsidRDefault="006C4EB6" w:rsidP="006C4EB6">
      <w:pPr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- к условиям реализации основных образовательных программ.</w:t>
      </w:r>
    </w:p>
    <w:p w:rsidR="006C4EB6" w:rsidRPr="006C4EB6" w:rsidRDefault="006C4EB6" w:rsidP="006C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 структуре созданы Программы: «Развития универсальных учебных действий», «Воспитательная», дополнение к образовательной Программе МОУ ПСОШ «НОК», к каждой из программ разработан план действий по их реализации. </w:t>
      </w: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В результате методического деятельности учителями развивающего обучения было установлено, что универсальные учебные действия формируются на всех без исключения предметах. Результаты оформлены в развернутую таблицу.</w:t>
      </w: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оиска Составлен план по внедрению стандартов, который полностью и в срок выполнялся. Выбран вариант учебного плана, сделаны соответствующие корректировки в составе образовательных программ, созданы программы по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деятельности и расписание учебного времени. В соответствии с планом педагогический коллектив ознакомлен с теоретическими основами стандартов. Однако в связи с обилием новой для учителей терминологии, научно изложенным текстом стандартов сделало их трудным для понимания. Кроме того теория изучалась не в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форме, у учителей не было мотивации для понимания и анализа текстов. </w:t>
      </w:r>
    </w:p>
    <w:p w:rsidR="006C4EB6" w:rsidRPr="006C4EB6" w:rsidRDefault="006C4EB6" w:rsidP="006C4EB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Апробация проводилась в двух первых классах школы. Проведены родительские собрания, на которых родители были ознакомлены с особенностями (концепция, образовательная программа, учебный план, расписание) и требованиями стандартов (гигиеническими и организационными). В результате для реализации внеурочной деятельности для первоклассников  был введен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. Это позволило создать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среду и свести до минимума учебную нагрузку. </w:t>
      </w:r>
    </w:p>
    <w:p w:rsidR="006C4EB6" w:rsidRPr="006C4EB6" w:rsidRDefault="006C4EB6" w:rsidP="006C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Все учащиеся получали горячие обеды за родительские средства. </w:t>
      </w:r>
    </w:p>
    <w:p w:rsidR="006C4EB6" w:rsidRPr="006C4EB6" w:rsidRDefault="006C4EB6" w:rsidP="006C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С целью оценки эффективности реализации Федерального государственного образовательного стандарта была проведена экспертиза Базисного учебного плана начальной школы «НОК»  в соответствии с Пакетом организационно-методических материалов по организации и проведению апробации Требований к структуре основных образовательных программ начального общего образования. Сформированы оценочные суждения и даны экспертные заключения по апробированным материалам базисного учебного плана, примерным учебным программам по предметам, системы развития универсальных учебных действий, инструментария и заданий достижений учащихся. </w:t>
      </w:r>
    </w:p>
    <w:p w:rsidR="006C4EB6" w:rsidRPr="006C4EB6" w:rsidRDefault="006C4EB6" w:rsidP="006C4EB6">
      <w:p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Используемые УМК в нашей школе в полной мере позволяют обеспечить выполнение требования к результатам освоения образовательных программ, способствуют социальному, коммуникативному,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развитию учащихся. Система контроля стандартов имеет много общего с системой контроля используемой нами в системе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Д.Б.Эльконина-В.В.Давыдова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, она позволяет выявить пробелы и трудности у учащихся, определить уровень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 В первых классах проведена интегрированная итоговая контрольная работа. В результате интерпретации результатов выработаны индивидуальные планы педагогической корректировки для учащихся, нуждающихся в устранении пробелов в знаниях и развитии универсальных учебных действий.</w:t>
      </w:r>
    </w:p>
    <w:p w:rsidR="006C4EB6" w:rsidRPr="006C4EB6" w:rsidRDefault="006C4EB6" w:rsidP="006C4EB6">
      <w:pPr>
        <w:tabs>
          <w:tab w:val="left" w:pos="1014"/>
          <w:tab w:val="left" w:pos="85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>Все итоговые комплексные проверочные работы имеют схожую структуру, позволяющую отслеживать динамику в подготовке каждого ученика.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hAnsi="Times New Roman" w:cs="Times New Roman"/>
          <w:sz w:val="24"/>
          <w:szCs w:val="24"/>
        </w:rPr>
        <w:t>Были отмечены и трудности в организации и проведении итоговых проверочных работ: подготовка к проведению работ требует временных и материальных затрат, порядок проведения работы предусматривает участие ассистентов и рассадку учащихся по одному, что изменяет обычную структуру урока и рассеивает внимание учащихся, инструкции к работе не содержат информации о том, какие универсальные учебные действия проверяет та или иная задача.</w:t>
      </w:r>
      <w:proofErr w:type="gramEnd"/>
    </w:p>
    <w:p w:rsidR="006C4EB6" w:rsidRPr="006C4EB6" w:rsidRDefault="006C4EB6" w:rsidP="006C4EB6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С целью более эффективного внедрения стандартов второго поколения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разработна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образовательная программа с учетом требований и рекомендаций стандартов, программа развития универсальных учебных действий, программа воспитания.</w:t>
      </w:r>
    </w:p>
    <w:p w:rsidR="006C4EB6" w:rsidRPr="006C4EB6" w:rsidRDefault="006C4EB6" w:rsidP="006C4EB6">
      <w:pPr>
        <w:pStyle w:val="23"/>
        <w:tabs>
          <w:tab w:val="num" w:pos="0"/>
        </w:tabs>
        <w:rPr>
          <w:sz w:val="24"/>
          <w:szCs w:val="24"/>
        </w:rPr>
      </w:pPr>
      <w:r w:rsidRPr="006C4EB6">
        <w:rPr>
          <w:sz w:val="24"/>
          <w:szCs w:val="24"/>
        </w:rPr>
        <w:tab/>
        <w:t xml:space="preserve">Деятельность образовательного комплекса «Развитие» координировалась  организационно-методическими совещаниями, проводимыми согласно плану методической работы. Методическая </w:t>
      </w:r>
      <w:r w:rsidRPr="006C4EB6">
        <w:rPr>
          <w:sz w:val="24"/>
          <w:szCs w:val="24"/>
        </w:rPr>
        <w:lastRenderedPageBreak/>
        <w:t>работа учителей была построена на основе их индивидуальных планов и методических проектов, в которых отражена деятельность каждого учителя:</w:t>
      </w:r>
    </w:p>
    <w:p w:rsidR="006C4EB6" w:rsidRPr="006C4EB6" w:rsidRDefault="006C4EB6" w:rsidP="006C4EB6">
      <w:pPr>
        <w:numPr>
          <w:ilvl w:val="0"/>
          <w:numId w:val="22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выступления с теоретическими сообщениями на семинарах;</w:t>
      </w:r>
    </w:p>
    <w:p w:rsidR="006C4EB6" w:rsidRPr="006C4EB6" w:rsidRDefault="006C4EB6" w:rsidP="006C4EB6">
      <w:pPr>
        <w:numPr>
          <w:ilvl w:val="0"/>
          <w:numId w:val="22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проекты и анализ проведенных уроков различных типов;</w:t>
      </w:r>
    </w:p>
    <w:p w:rsidR="006C4EB6" w:rsidRPr="006C4EB6" w:rsidRDefault="006C4EB6" w:rsidP="006C4EB6">
      <w:pPr>
        <w:numPr>
          <w:ilvl w:val="0"/>
          <w:numId w:val="22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корректировка рабочих программ;</w:t>
      </w:r>
    </w:p>
    <w:p w:rsidR="006C4EB6" w:rsidRPr="006C4EB6" w:rsidRDefault="006C4EB6" w:rsidP="006C4EB6">
      <w:pPr>
        <w:numPr>
          <w:ilvl w:val="0"/>
          <w:numId w:val="22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разработка и оформление итоговых и тематических проверочных работ, контрольных работ по основным предметам;</w:t>
      </w:r>
    </w:p>
    <w:p w:rsidR="006C4EB6" w:rsidRPr="006C4EB6" w:rsidRDefault="006C4EB6" w:rsidP="006C4EB6">
      <w:pPr>
        <w:numPr>
          <w:ilvl w:val="0"/>
          <w:numId w:val="22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изготовление разно уровневых карточек для стола «заданий» и стола «помощников»;</w:t>
      </w:r>
    </w:p>
    <w:p w:rsidR="006C4EB6" w:rsidRPr="006C4EB6" w:rsidRDefault="006C4EB6" w:rsidP="006C4EB6">
      <w:pPr>
        <w:numPr>
          <w:ilvl w:val="0"/>
          <w:numId w:val="22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проектирование творческих отчетов учащихся и учителя, и их проведение;</w:t>
      </w:r>
    </w:p>
    <w:p w:rsidR="006C4EB6" w:rsidRPr="006C4EB6" w:rsidRDefault="006C4EB6" w:rsidP="006C4EB6">
      <w:pPr>
        <w:numPr>
          <w:ilvl w:val="0"/>
          <w:numId w:val="22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разработанные паспорта проектов;</w:t>
      </w:r>
    </w:p>
    <w:p w:rsidR="006C4EB6" w:rsidRPr="006C4EB6" w:rsidRDefault="006C4EB6" w:rsidP="006C4EB6">
      <w:pPr>
        <w:numPr>
          <w:ilvl w:val="0"/>
          <w:numId w:val="22"/>
        </w:num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анализы педагогической и методической деятельности.</w:t>
      </w:r>
    </w:p>
    <w:p w:rsidR="006C4EB6" w:rsidRPr="006C4EB6" w:rsidRDefault="006C4EB6" w:rsidP="006C4EB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>Все результаты методической работы и педагогической деятельности учителей оформлены в индивидуальных накопительных папках.</w:t>
      </w:r>
    </w:p>
    <w:p w:rsidR="006C4EB6" w:rsidRPr="006C4EB6" w:rsidRDefault="006C4EB6" w:rsidP="006C4EB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Анализ методической работы и эффективности деятельности учителей по реализации системы Д.Б.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- В.В. Давыдова и переход на образовательные стандарты второго поколения определил ряд задач, которые необходимо решить в 2009-2010 учебном году: 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реализовать план мероприятий по внедрению стандартов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4EB6">
        <w:rPr>
          <w:rFonts w:ascii="Times New Roman" w:hAnsi="Times New Roman" w:cs="Times New Roman"/>
          <w:sz w:val="24"/>
          <w:szCs w:val="24"/>
        </w:rPr>
        <w:t xml:space="preserve"> поколения;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выполнить планы по реализации образовательной программы, программы развития универсальных учебных действий, воспитательной программы;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выработать критерии по мониторингу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оздоровленности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учащихся в рамках гигиенических требований к условиям реализации образовательных программ и режиму обучения школе;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изучить рекомендации по организации системы  внутренней накопительной оценки достижений учащихся;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откорректировать положение о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, в связи с введением новых образовательных стандартов;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создать пространство для профессионального умощнения учителей посредством проектирования и проведения теоретико-методических семинаров; организацию сотрудничества с учителями РО других школ, совместное групповое проектирование и анализ уроков;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реализовать индивидуальные и групповые творческие проекты, с целью активизации учебных и творческих способностей детей и совершенствования овладения проектным методом педагогов;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продолжить работу по внедрению современных информационных и педагогических технологий;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продолжить деятельность по преемственности совместно с дошкольными учреждениями для улучшения подготовки детей к школе;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продолжить деятельность системы подготовки к школе - «Маминой школы»;</w:t>
      </w:r>
    </w:p>
    <w:p w:rsidR="006C4EB6" w:rsidRPr="006C4EB6" w:rsidRDefault="006C4EB6" w:rsidP="006C4EB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продолжить работу по проведению социально-педагогического мониторинга детей школьного возраста. </w:t>
      </w:r>
    </w:p>
    <w:p w:rsidR="006C4EB6" w:rsidRPr="006C4EB6" w:rsidRDefault="006C4EB6" w:rsidP="006C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Анализ деятельности структуры «Информатизация» за 2009-2010 учебный год.</w:t>
      </w: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 2009-2010 учебном году деятельность структуры «Информатизация» была организована согласно программе развития МОУ ПСОШ «НОК», годового плана работы МОУ ПСОШ «НОК», программе внедрения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в МОУ ПСОШ «НОК» на 2009-2014 гг., плана работы структуры.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Разработка и внедрение модели современного компьютерного образования остаётся основной целью инвестиционного образовательного проекта «Центр информатизации Информатика Плюс». В 2009-2010 учебном году значительно пополнилась и модернизировалась материально-техническая база компьютерного центра «НОК».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 xml:space="preserve">Приобретены дорогостоящие комплектующие для компьютерной техники, 3 проекционных экрана, 3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проектора, графический планшет, интерактивная доска прямой проекции + подвесной проектор, сетевое оборудование, 2 лазерных принтера, 6 источников бесперебойного питания (ИБП), цифровая видеокамера,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C4EB6">
        <w:rPr>
          <w:rFonts w:ascii="Times New Roman" w:hAnsi="Times New Roman" w:cs="Times New Roman"/>
          <w:sz w:val="24"/>
          <w:szCs w:val="24"/>
        </w:rPr>
        <w:t xml:space="preserve">-камера, 5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документ-камер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hAnsi="Times New Roman" w:cs="Times New Roman"/>
          <w:sz w:val="24"/>
          <w:szCs w:val="24"/>
        </w:rPr>
        <w:lastRenderedPageBreak/>
        <w:t xml:space="preserve">Были установлены компьютеризированные рабочие места учителя, включающие компьютер, проекционный экран и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проектор в кабинетах английского языка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Д. А. и Тимошенко И. В. ,кабинете физики Ковтун Г. В., в кабинете математики Коровиной В. В. В августе 2009 года было произведено перераспределение компьютеров КЦ «НОК», которые были установлены преимущественно в кабинеты начальной школы, а также в кабинет физики, русского языка. </w:t>
      </w:r>
      <w:proofErr w:type="gramEnd"/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18 предметных кабинетов оснащены компьютеризированными рабочими местами учителя, из них 12 имеют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комплексы. Была установлена интерактивная доска в кабинете 112. Обеспечен доступ в Интернет в кабинете 112.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Были приобретены и установлены запасные части для системных блоков в кабинетах 108 ,112, 312, 205 с целью модернизации имеющихся машин для их адаптации под новое программное обеспечение, а именно, под видео и графические редакторы пакета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Сегодня в «НОК» регулярно используется 58 программных продуктов, 65% из которых являются собственностью «НОК», а 35% принадлежат пакету СБППО и имеют срок действия до 31.12.2010 года. В истекшем учебном году школа приобрела следующее ПО: 8 лицензий ОС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C4EB6">
        <w:rPr>
          <w:rFonts w:ascii="Times New Roman" w:hAnsi="Times New Roman" w:cs="Times New Roman"/>
          <w:sz w:val="24"/>
          <w:szCs w:val="24"/>
        </w:rPr>
        <w:t xml:space="preserve"> 7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C4EB6">
        <w:rPr>
          <w:rFonts w:ascii="Times New Roman" w:hAnsi="Times New Roman" w:cs="Times New Roman"/>
          <w:sz w:val="24"/>
          <w:szCs w:val="24"/>
        </w:rPr>
        <w:t xml:space="preserve">, 6 лицензий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6C4EB6">
        <w:rPr>
          <w:rFonts w:ascii="Times New Roman" w:hAnsi="Times New Roman" w:cs="Times New Roman"/>
          <w:sz w:val="24"/>
          <w:szCs w:val="24"/>
        </w:rPr>
        <w:t xml:space="preserve">, 16 лицензий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Corel</w:t>
      </w:r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4EB6">
        <w:rPr>
          <w:rFonts w:ascii="Times New Roman" w:hAnsi="Times New Roman" w:cs="Times New Roman"/>
          <w:sz w:val="24"/>
          <w:szCs w:val="24"/>
        </w:rPr>
        <w:t xml:space="preserve">4, 9 лицензий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Acrobat</w:t>
      </w:r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C4EB6">
        <w:rPr>
          <w:rFonts w:ascii="Times New Roman" w:hAnsi="Times New Roman" w:cs="Times New Roman"/>
          <w:sz w:val="24"/>
          <w:szCs w:val="24"/>
        </w:rPr>
        <w:t xml:space="preserve"> 9, 24 лицензии архиватора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B6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В январе была усилена антивирусная защита компьютерного парка «НОК», были дополнительно установлены более новые версии лабораторий Касперского.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Наряду с ОС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6C4EB6">
        <w:rPr>
          <w:rFonts w:ascii="Times New Roman" w:hAnsi="Times New Roman" w:cs="Times New Roman"/>
          <w:sz w:val="24"/>
          <w:szCs w:val="24"/>
        </w:rPr>
        <w:t xml:space="preserve">, 7 в кабинете 108, на основании приказа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. РО и РУО, 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ОС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6C4EB6">
        <w:rPr>
          <w:rFonts w:ascii="Times New Roman" w:hAnsi="Times New Roman" w:cs="Times New Roman"/>
          <w:sz w:val="24"/>
          <w:szCs w:val="24"/>
        </w:rPr>
        <w:t xml:space="preserve"> на 10 рабочих мест.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На сегодняшний день в школе имеется 55 рабочих компьютеров. Все компьютеры, включая поставки 2001 года в рабочем состоянии. В настоящий момент «НОК» является лидером по наличию компьютерной техники в районе.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 Динамика роста соотношения количества учащихся в «НОК» к количеству компьютеров.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1815"/>
        <w:gridCol w:w="2227"/>
        <w:gridCol w:w="2410"/>
        <w:gridCol w:w="2232"/>
      </w:tblGrid>
      <w:tr w:rsidR="006C4EB6" w:rsidRPr="006C4EB6" w:rsidTr="00CA635D">
        <w:tc>
          <w:tcPr>
            <w:tcW w:w="1736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15" w:type="dxa"/>
            <w:vMerge w:val="restart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«НОК»</w:t>
            </w:r>
          </w:p>
        </w:tc>
        <w:tc>
          <w:tcPr>
            <w:tcW w:w="6869" w:type="dxa"/>
            <w:gridSpan w:val="3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Соотношение: количество учеников на 1 компьютер</w:t>
            </w:r>
          </w:p>
        </w:tc>
      </w:tr>
      <w:tr w:rsidR="006C4EB6" w:rsidRPr="006C4EB6" w:rsidTr="00CA635D">
        <w:tc>
          <w:tcPr>
            <w:tcW w:w="1736" w:type="dxa"/>
            <w:vMerge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Областной показатель</w:t>
            </w:r>
          </w:p>
        </w:tc>
        <w:tc>
          <w:tcPr>
            <w:tcW w:w="2410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Районный показатель</w:t>
            </w:r>
          </w:p>
        </w:tc>
        <w:tc>
          <w:tcPr>
            <w:tcW w:w="2232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Показатель в «НОК»</w:t>
            </w:r>
          </w:p>
        </w:tc>
      </w:tr>
      <w:tr w:rsidR="006C4EB6" w:rsidRPr="006C4EB6" w:rsidTr="00CA635D">
        <w:tc>
          <w:tcPr>
            <w:tcW w:w="1736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1815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45 уч-ся на 1 ПК</w:t>
            </w:r>
          </w:p>
        </w:tc>
        <w:tc>
          <w:tcPr>
            <w:tcW w:w="2410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24 уч-ся на 1 ПК</w:t>
            </w:r>
          </w:p>
        </w:tc>
        <w:tc>
          <w:tcPr>
            <w:tcW w:w="2232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21 уч-ся на 1 ПК</w:t>
            </w:r>
          </w:p>
        </w:tc>
      </w:tr>
      <w:tr w:rsidR="006C4EB6" w:rsidRPr="006C4EB6" w:rsidTr="00CA635D">
        <w:tc>
          <w:tcPr>
            <w:tcW w:w="1736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1815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39 уч-ся на 1 ПК</w:t>
            </w:r>
          </w:p>
        </w:tc>
        <w:tc>
          <w:tcPr>
            <w:tcW w:w="2410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23 уч-ся на 1 ПК</w:t>
            </w:r>
          </w:p>
        </w:tc>
        <w:tc>
          <w:tcPr>
            <w:tcW w:w="2232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10 уч-ся на 1 ПК</w:t>
            </w:r>
          </w:p>
        </w:tc>
      </w:tr>
      <w:tr w:rsidR="006C4EB6" w:rsidRPr="006C4EB6" w:rsidTr="00CA635D">
        <w:tc>
          <w:tcPr>
            <w:tcW w:w="1736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815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27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34 уч-ся на 1 ПК</w:t>
            </w:r>
          </w:p>
        </w:tc>
        <w:tc>
          <w:tcPr>
            <w:tcW w:w="2410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21 уч-ся на 1 ПК</w:t>
            </w:r>
          </w:p>
        </w:tc>
        <w:tc>
          <w:tcPr>
            <w:tcW w:w="2232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8 уч-ся на 1 ПК</w:t>
            </w:r>
          </w:p>
        </w:tc>
      </w:tr>
      <w:tr w:rsidR="006C4EB6" w:rsidRPr="006C4EB6" w:rsidTr="00CA635D">
        <w:tc>
          <w:tcPr>
            <w:tcW w:w="1736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815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2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0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20 уч-ся на 1 ПК</w:t>
            </w:r>
          </w:p>
        </w:tc>
        <w:tc>
          <w:tcPr>
            <w:tcW w:w="2232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7 уч-ся на 1 ПК</w:t>
            </w:r>
          </w:p>
        </w:tc>
      </w:tr>
      <w:tr w:rsidR="006C4EB6" w:rsidRPr="006C4EB6" w:rsidTr="00CA635D">
        <w:tc>
          <w:tcPr>
            <w:tcW w:w="1736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815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27" w:type="dxa"/>
          </w:tcPr>
          <w:p w:rsidR="006C4EB6" w:rsidRPr="006C4EB6" w:rsidRDefault="006C4EB6" w:rsidP="006C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0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6C4EB6" w:rsidRPr="006C4EB6" w:rsidRDefault="006C4EB6" w:rsidP="006C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6">
              <w:rPr>
                <w:rFonts w:ascii="Times New Roman" w:hAnsi="Times New Roman" w:cs="Times New Roman"/>
                <w:sz w:val="24"/>
                <w:szCs w:val="24"/>
              </w:rPr>
              <w:t>7 уч-ся на 1 ПК</w:t>
            </w:r>
          </w:p>
        </w:tc>
      </w:tr>
    </w:tbl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«Образование» продолжает реализовываться программа по предоставлению услуг Интернет в «НОК». В целях предотвращения несанкционированного и неконтролируемого доступа учащихся и работников к ресурсам Интернет в «НОК» был разработан ряд инструкций и положений, регламентирующих работу в сети Интернет, а также, установлена система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фильтрации (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СКФ-фильтр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) на АРМ для доступа в Интернет. Разграничен доступ компьютеров-терминалов к сети Интернет, с чёткой фиксацией посещаемых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и трафика. В мае 2010 в рамках реализации ПНПО была получена и  установлена новая система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фильтрации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ПКФ-Нетполис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hAnsi="Times New Roman" w:cs="Times New Roman"/>
          <w:sz w:val="24"/>
          <w:szCs w:val="24"/>
        </w:rPr>
        <w:t xml:space="preserve">В 2010году в сети Интернет появилась обновлённая версия школьного сайта по адресу </w:t>
      </w:r>
      <w:hyperlink r:id="rId10" w:history="1"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nok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C4EB6">
        <w:rPr>
          <w:rFonts w:ascii="Times New Roman" w:hAnsi="Times New Roman" w:cs="Times New Roman"/>
          <w:sz w:val="24"/>
          <w:szCs w:val="24"/>
        </w:rPr>
        <w:t xml:space="preserve">, который существует наряду с прежней страницей по адресу </w:t>
      </w:r>
      <w:hyperlink r:id="rId11" w:history="1"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nok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narod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C4EB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C4EB6">
        <w:rPr>
          <w:rFonts w:ascii="Times New Roman" w:hAnsi="Times New Roman" w:cs="Times New Roman"/>
          <w:sz w:val="24"/>
          <w:szCs w:val="24"/>
        </w:rPr>
        <w:t>. Школьный сайт обновляется каждый месяц в течение учебного года, имеет простую навигацию, обновлённую документацию и ряд новых разделов, посвящённых образовательному процессу «НОК», музею «НОК», «Летопись школы», 65-летие ВОВ и т. д. Постоянное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обновление школьного сайта позволило ему занять третье место в муниципальном конкурсе по </w:t>
      </w:r>
      <w:r w:rsidRPr="006C4EB6">
        <w:rPr>
          <w:rFonts w:ascii="Times New Roman" w:hAnsi="Times New Roman" w:cs="Times New Roman"/>
          <w:sz w:val="24"/>
          <w:szCs w:val="24"/>
        </w:rPr>
        <w:lastRenderedPageBreak/>
        <w:t>информационным технологиям в номинации «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школьный сайт-2010». Уже пятый год подряд сайт «НОК» входит в тройку лучших школьных сайтов района.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Разработан график доступа учащихся в Интернет во внеурочное время. Работа учащихся в сети Интернет осуществляется в присутствии ответственного лица (классного руководителя, лаборанта, инженера).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Наряду с поиском информации учителя и учащиеся «НОК» были вовлечены в новую Интернет деятельность – образовательные Интернет проекты, в рамках проектной деятельности в «НОК». Учителя и учащиеся представляли результаты своей совместной исследовательской деятельности по заявленным ранее направлениям.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4EB6">
        <w:rPr>
          <w:rFonts w:ascii="Times New Roman" w:hAnsi="Times New Roman" w:cs="Times New Roman"/>
          <w:sz w:val="24"/>
          <w:szCs w:val="24"/>
        </w:rPr>
        <w:t>Булынина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Л. М. вместе с  учащимися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Санчуговой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А., Тараненко Е.,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Межерицкой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А. и Черкасовой О. представили результаты исследовательской деятельности по русскому языку в Интернет проекте «Русский язык и лингвистические игры», Терещенко Л. В. и учащаяся 11 класса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Свёрткова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К. приняли участие в литературном 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Интернет-проекте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«Александр Костюнин – творческая лаборатория, «Купель»,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Сухоненко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И. А. с учащимися 6 класса «Интернет-викторина в честь 65-летия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Победы». Результаты всех интернет проектов будут подведены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концу года.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 2009-2010 учебном году в состав работников структуры «Информатизация» входили следующие работники: руководитель структуры, 2 учителя информатики, 4 педагога дополнительного образования, инженер-администратор.  Всеми работниками структуры разработаны индивидуальные планы методической работы, паспорта реализуемых методических проектов.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Вследствие укрепления материально-технической базы «НОК», приобретения нового ПО,  компьютерного оборудования и оргтехники, возникла острая необходимость в обучении работников «НОК» использованию и эксплуатации оборудования и программных продуктов. 4 работника структуры прошли курсы повышения квалификации: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Д. А. и Романов Р. М «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в образовании, установка и администрирование пакета СПО» (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),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С. В. «Информатика и ИКТ», «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C4EB6">
        <w:rPr>
          <w:rFonts w:ascii="Times New Roman" w:hAnsi="Times New Roman" w:cs="Times New Roman"/>
          <w:sz w:val="24"/>
          <w:szCs w:val="24"/>
        </w:rPr>
        <w:t xml:space="preserve">  - Академия учителей» (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)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Дараган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Р. П. «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в образовании, установка и администрирование пакета СПО» (заочно).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Педагоги дополнительного образования продолжают деятельность детско-взрослых компьютерных студий: «Компьютерная графика и мультимедиа», «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Арт-студия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», «Телестудия НОК-ТВ», «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Видеоредакторы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».   Занятия проводились согласно рабочим программам, с нагрузкой 2 часа в неделю. Журналы кружковой работы оформлены согласно рабочим программам. В рамках проектной деятельности продолжили свою работу компьютерные студии «Любители русского языка», «Любители математики», «Краеведение».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hAnsi="Times New Roman" w:cs="Times New Roman"/>
          <w:sz w:val="24"/>
          <w:szCs w:val="24"/>
        </w:rPr>
        <w:t>Участниками «Студии школьного телевидения НОК-ТВ» было создано 7 выпусков школьных новостей, 2 выпуска спортивных новостей, 3 социальных ролика «Голосуй, сделай свой выбор», «О вреде курения», «Планета сердец» отснято и оцифровано более 50 видео сюжетов в школьный видео архив.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Сегодня школьный видео архив насчитывает 170 дисков. Опыт деятельности «Студии НОК-ТВ» был представлен на муниципальных семинарах «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Юнкоры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района», «Семинар Воспитательной деятельности НОК», педагогическом всеобуче, муниципальные конкурсы ИТ.  В рамках участия в проекте «Я – гражданин России» был подготовлен специальный выпуск новостей для эфира муниципальной телекомпании «Приазовский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Оптималист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».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Фильмы «Студии НОК-ТВ» были удостоены первых мест в муниципальном конкурсе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в номинациях «Документальный фильм» и «Школьный выпуск новостей». Мультипликационный фильм «Голосуй, сделай свой выбор!» занял первое место в муниципальном конкурсе «Графических и анимационных работ», организованном ТИК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района, электронная газета ко Дню Победы.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Следует отметить динамику результативного участия учащихся «НОК» в конкурсах по информационным технологиям различного уровня. Все учащиеся, участвовавшие в данных конкурсах,  входят в  постоянный состав  участников школьных компьютерных студий.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Количество победителей конкурсов по информационным технологиям среди учащихся.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08700" cy="407860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07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Учащиеся не принимали участие в региональных конкурсах по информационным технологиям, так как заявка на участие не была вовремя направлена в оргкомитет работниками РИЦ.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Учебный план МОУ ПСОШ «НОК» имеет информационно-технологический профиль. В 2009 году началась поэтапная реализация «Программы внедрения информационных технологий в МОУ ПСОШ «НОК» на 2009-2014 гг.»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В КЦ «НОК» были откорректированы рабочие программы по следующим спецкурсам: «Компьютерный дизайн», «Компьютерное делопроизводство», «Мультимедиа», «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Веб-дизайн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сайтопостроение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»  на базе УМК Н. В. Макаровой «Информатика и ИКТ», М. Е. Фиошина «Информатика и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» (Профильный уровень», Н. Д.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«Информатика и ИТ» (Профильный уровень). В начале учебного года были разработаны рабочие программы по курсу «Информатика и ИКТ» в 8, 10, 11 классах, в связи с введением курса в 8 классе и переходом на новый профильный учебник под редакцией Фиошина в классах старшей ступени.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 течение года наряду с основным учебником, в классах старшей ступени учителями информатики используются методическое пособие по подготовке к ЕГЭ, издательства «Легион», а также, практикум по курсу «Информатика и ИКТ» под редакцией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Все учебные предметы других образовательных областей имеют в своих рабочих программах темы, при объяснении и изучении которых,  целесообразно использовать средства ИКТ. На таких уроках учителя продолжают использовать авторские электронные разработки, лицензионные учебные комплексы, ресурсы Интернет. В 2009-2010 учебном году учителями-предметниками было проведено 1184 урока с использованием средств ИКТ, что на 203 урока больше, чем в предыдущем учебном году. Эти 203 составили уроки, проведённые в кабинетах, оборудованных в этом учебном году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комплексами.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80645</wp:posOffset>
            </wp:positionV>
            <wp:extent cx="5415280" cy="2587625"/>
            <wp:effectExtent l="19050" t="0" r="13970" b="3175"/>
            <wp:wrapThrough wrapText="bothSides">
              <wp:wrapPolygon edited="0">
                <wp:start x="-76" y="0"/>
                <wp:lineTo x="-76" y="21627"/>
                <wp:lineTo x="21656" y="21627"/>
                <wp:lineTo x="21656" y="0"/>
                <wp:lineTo x="-76" y="0"/>
              </wp:wrapPolygon>
            </wp:wrapThrough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6C4EB6">
        <w:rPr>
          <w:rFonts w:ascii="Times New Roman" w:hAnsi="Times New Roman" w:cs="Times New Roman"/>
          <w:sz w:val="24"/>
          <w:szCs w:val="24"/>
        </w:rPr>
        <w:t>Наибольшее количество уроков с использованием ресурсов Интернет было проведено учителями русского языка, математики, истории и английского языка.</w:t>
      </w: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Все уроки с использованием средств ИКТ, запланированные учителями в рабочих программах проводятся строго по графику.  </w:t>
      </w:r>
    </w:p>
    <w:p w:rsidR="006C4EB6" w:rsidRPr="006C4EB6" w:rsidRDefault="006C4EB6" w:rsidP="006C4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 в «НОК» непрерывно совершенствуется и обогащается, что продиктовано модернизацией системы образования в целом, и в частности конкурентоспособностью «НОК» на рынке образовательных услуг. 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В 2009-2010 учебном году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авторских электронных разработок учителей «НОК» пополнилась 18 электронными разработками. Сегодня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насчитывает 290 электронных разработок. В 2009-2010 учебном году лучшие электронные разработки педагогов «НОК» были результативно представлены: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B6">
        <w:rPr>
          <w:rFonts w:ascii="Times New Roman" w:hAnsi="Times New Roman" w:cs="Times New Roman"/>
          <w:i/>
          <w:sz w:val="24"/>
          <w:szCs w:val="24"/>
        </w:rPr>
        <w:t>-Муниципальный конкурс «</w:t>
      </w:r>
      <w:proofErr w:type="gramStart"/>
      <w:r w:rsidRPr="006C4EB6">
        <w:rPr>
          <w:rFonts w:ascii="Times New Roman" w:hAnsi="Times New Roman" w:cs="Times New Roman"/>
          <w:i/>
          <w:sz w:val="24"/>
          <w:szCs w:val="24"/>
        </w:rPr>
        <w:t>ИТ</w:t>
      </w:r>
      <w:proofErr w:type="gramEnd"/>
      <w:r w:rsidRPr="006C4EB6">
        <w:rPr>
          <w:rFonts w:ascii="Times New Roman" w:hAnsi="Times New Roman" w:cs="Times New Roman"/>
          <w:i/>
          <w:sz w:val="24"/>
          <w:szCs w:val="24"/>
        </w:rPr>
        <w:t xml:space="preserve"> в руках учителя 2010» (</w:t>
      </w:r>
      <w:proofErr w:type="spellStart"/>
      <w:r w:rsidRPr="006C4EB6">
        <w:rPr>
          <w:rFonts w:ascii="Times New Roman" w:hAnsi="Times New Roman" w:cs="Times New Roman"/>
          <w:i/>
          <w:sz w:val="24"/>
          <w:szCs w:val="24"/>
        </w:rPr>
        <w:t>Рубан</w:t>
      </w:r>
      <w:proofErr w:type="spellEnd"/>
      <w:r w:rsidRPr="006C4EB6">
        <w:rPr>
          <w:rFonts w:ascii="Times New Roman" w:hAnsi="Times New Roman" w:cs="Times New Roman"/>
          <w:i/>
          <w:sz w:val="24"/>
          <w:szCs w:val="24"/>
        </w:rPr>
        <w:t xml:space="preserve"> Д. А.-1 место, Волкова О. В – 2 место, Кислица Т. А.  – 1 место, Фёдорова С. В. – 2 место – по различным номинациям)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B6">
        <w:rPr>
          <w:rFonts w:ascii="Times New Roman" w:hAnsi="Times New Roman" w:cs="Times New Roman"/>
          <w:i/>
          <w:sz w:val="24"/>
          <w:szCs w:val="24"/>
        </w:rPr>
        <w:t>-Семинар «Воспитательная деятельность в «НОК»</w:t>
      </w:r>
    </w:p>
    <w:p w:rsidR="006C4EB6" w:rsidRPr="006C4EB6" w:rsidRDefault="006C4EB6" w:rsidP="006C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Комплексные мероприятия по развитию информационной инфраструктуры «НОК» непрерывно оптимизируют и совершенствуют образовательный процесс. Главная цель  инновационного образовательного учреждения – это повышения качества образования. А какими средствами эта цель будет достигаться – это зависит от выбора школы. «НОК» уже давно сделал этот выбор в пользу Информационных технологий, направляя все имеющиеся ресурсы на расширение и совершенствования своей материально-технической базы, а также усиление кадрового потенциала педагогов «НОК», способных эффективно использовать в учебном процессе инновационные технологии посредством непрерывного повышения своих компетенций в области современных образовательных технологий.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Однако, в деятельности структуры по реализации проекта «Центр информатизации Информатика Плюс» существует ряд задач, которые планируется решить в будущем учебном году. Так, в 2010-2011 году планируется: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- в связи с изменением учебного плана в «НОК»  и уменьшением количества часов на преподавание спецкурсов в старшей ступени,  необходимо в  классах первой ступени в срок до 1.08.2010 разработать рабочие  программы по компьютерным курсам художественно-эстетической и познавательной направленности в соответствии с программой внедрения стандартов второго поколения.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срок до 1.08.2010 произвести корректировку рабочих программ по предметам информационно-технологической области.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EB6">
        <w:rPr>
          <w:rFonts w:ascii="Times New Roman" w:hAnsi="Times New Roman" w:cs="Times New Roman"/>
          <w:sz w:val="24"/>
          <w:szCs w:val="24"/>
        </w:rPr>
        <w:lastRenderedPageBreak/>
        <w:t>- заменить ПО, поставлено в рамках нацпроекта «Образование» на аналогичное, приобретённое за средства школы.</w:t>
      </w:r>
      <w:proofErr w:type="gramEnd"/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- в срок до 26.08.2010 провести практическое занятие с учителями по апробации нового ПО «ЭОР» (электронные образовательные ресурсы),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включающем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задания тестового типа по 10 дисциплинам учебного плана.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- осуществить ряд управленческих задач по организации деятельности ПДО;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- организовать бесперебойное функционирование КЦ «НОК»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>а) обновить информационные уголки в кабинетах информатики (памятки по ТБ, санитарные акты сдачи кабинетов, паспорта кабинетов)</w:t>
      </w:r>
    </w:p>
    <w:p w:rsidR="006C4EB6" w:rsidRPr="006C4EB6" w:rsidRDefault="006C4EB6" w:rsidP="006C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б) произвести ремонтные и инженерные работы (наладка локальной сети, тех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>бслуживание ПК)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ab/>
        <w:t xml:space="preserve">в) график работы КЦ «НОК» ( учебные часы, группы ПДО, классные коллективы,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>аботники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);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- продолжить пополнение банка работ школьной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посредством адаптации всевозможных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 xml:space="preserve"> ресурсов к Рабочим программам «НОК»;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- произвести ежегодную инвентаризацию материально-технической  и программной базы «НОК» в декабре 2010 года.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- обновить и модернизировать школьный сайт; 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>- обучить сетевых учителей на курсах повышения квалификации или методом дистанционного обучения.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- организовать участие учителей и учащихся в </w:t>
      </w:r>
      <w:proofErr w:type="spellStart"/>
      <w:proofErr w:type="gramStart"/>
      <w:r w:rsidRPr="006C4EB6">
        <w:rPr>
          <w:rFonts w:ascii="Times New Roman" w:hAnsi="Times New Roman" w:cs="Times New Roman"/>
          <w:sz w:val="24"/>
          <w:szCs w:val="24"/>
        </w:rPr>
        <w:t>Интернет-проектах</w:t>
      </w:r>
      <w:proofErr w:type="spellEnd"/>
      <w:proofErr w:type="gramEnd"/>
      <w:r w:rsidRPr="006C4EB6">
        <w:rPr>
          <w:rFonts w:ascii="Times New Roman" w:hAnsi="Times New Roman" w:cs="Times New Roman"/>
          <w:sz w:val="24"/>
          <w:szCs w:val="24"/>
        </w:rPr>
        <w:t>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- обучить учителей работе в ОС </w:t>
      </w:r>
      <w:r w:rsidRPr="006C4EB6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6C4EB6">
        <w:rPr>
          <w:rFonts w:ascii="Times New Roman" w:hAnsi="Times New Roman" w:cs="Times New Roman"/>
          <w:sz w:val="24"/>
          <w:szCs w:val="24"/>
        </w:rPr>
        <w:t xml:space="preserve">, в соответствии с рекомендациями </w:t>
      </w:r>
      <w:proofErr w:type="spellStart"/>
      <w:r w:rsidRPr="006C4EB6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6C4EB6">
        <w:rPr>
          <w:rFonts w:ascii="Times New Roman" w:hAnsi="Times New Roman" w:cs="Times New Roman"/>
          <w:sz w:val="24"/>
          <w:szCs w:val="24"/>
        </w:rPr>
        <w:t>. РО.</w:t>
      </w: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- Удалить со всех рабочих </w:t>
      </w:r>
      <w:proofErr w:type="gramStart"/>
      <w:r w:rsidRPr="006C4EB6">
        <w:rPr>
          <w:rFonts w:ascii="Times New Roman" w:hAnsi="Times New Roman" w:cs="Times New Roman"/>
          <w:sz w:val="24"/>
          <w:szCs w:val="24"/>
        </w:rPr>
        <w:t>станций</w:t>
      </w:r>
      <w:proofErr w:type="gramEnd"/>
      <w:r w:rsidRPr="006C4EB6">
        <w:rPr>
          <w:rFonts w:ascii="Times New Roman" w:hAnsi="Times New Roman" w:cs="Times New Roman"/>
          <w:sz w:val="24"/>
          <w:szCs w:val="24"/>
        </w:rPr>
        <w:t xml:space="preserve"> ПО, которое входит в состав пакетов СБППО и СБППО 2 в срок до 25 декабря 2010 года.</w:t>
      </w:r>
    </w:p>
    <w:p w:rsidR="006C4EB6" w:rsidRPr="006C4EB6" w:rsidRDefault="006C4EB6" w:rsidP="006C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B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B6" w:rsidRPr="006C4EB6" w:rsidRDefault="006C4EB6" w:rsidP="006C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6C4EB6" w:rsidRDefault="006C4EB6" w:rsidP="006C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6C4EB6" w:rsidSect="006C4EB6">
      <w:headerReference w:type="even" r:id="rId14"/>
      <w:headerReference w:type="default" r:id="rId15"/>
      <w:footerReference w:type="default" r:id="rId16"/>
      <w:pgSz w:w="11906" w:h="16838" w:code="9"/>
      <w:pgMar w:top="720" w:right="720" w:bottom="720" w:left="720" w:header="454" w:footer="73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2E" w:rsidRDefault="006C4EB6" w:rsidP="00050ABC">
    <w:pPr>
      <w:pStyle w:val="a9"/>
      <w:tabs>
        <w:tab w:val="clear" w:pos="4677"/>
        <w:tab w:val="clear" w:pos="9355"/>
        <w:tab w:val="left" w:pos="2680"/>
      </w:tabs>
      <w:ind w:firstLine="0"/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2E" w:rsidRDefault="006C4EB6" w:rsidP="00EC62E1">
    <w:pPr>
      <w:pStyle w:val="a6"/>
      <w:framePr w:wrap="around" w:vAnchor="text" w:hAnchor="margin" w:xAlign="right" w:y="1"/>
      <w:ind w:firstLine="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092E" w:rsidRDefault="006C4EB6" w:rsidP="00354F32">
    <w:pPr>
      <w:pStyle w:val="a6"/>
      <w:ind w:right="36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2E" w:rsidRDefault="006C4EB6" w:rsidP="00EC62E1">
    <w:pPr>
      <w:pStyle w:val="a6"/>
      <w:framePr w:wrap="around" w:vAnchor="text" w:hAnchor="margin" w:xAlign="right" w:y="1"/>
      <w:ind w:firstLine="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49092E" w:rsidRDefault="006C4EB6" w:rsidP="00354F32">
    <w:pPr>
      <w:pStyle w:val="a6"/>
      <w:ind w:right="36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813"/>
    <w:multiLevelType w:val="hybridMultilevel"/>
    <w:tmpl w:val="0F1E62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C203A"/>
    <w:multiLevelType w:val="hybridMultilevel"/>
    <w:tmpl w:val="F280AC3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E3030"/>
    <w:multiLevelType w:val="hybridMultilevel"/>
    <w:tmpl w:val="9AAA0340"/>
    <w:lvl w:ilvl="0" w:tplc="1ACC7452">
      <w:start w:val="1"/>
      <w:numFmt w:val="bullet"/>
      <w:lvlText w:val="-"/>
      <w:lvlJc w:val="left"/>
      <w:pPr>
        <w:tabs>
          <w:tab w:val="num" w:pos="663"/>
        </w:tabs>
        <w:ind w:left="550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1543E"/>
    <w:multiLevelType w:val="hybridMultilevel"/>
    <w:tmpl w:val="3630349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55F9F"/>
    <w:multiLevelType w:val="hybridMultilevel"/>
    <w:tmpl w:val="0092322E"/>
    <w:lvl w:ilvl="0" w:tplc="1ACC7452">
      <w:start w:val="1"/>
      <w:numFmt w:val="bullet"/>
      <w:lvlText w:val="-"/>
      <w:lvlJc w:val="left"/>
      <w:pPr>
        <w:tabs>
          <w:tab w:val="num" w:pos="663"/>
        </w:tabs>
        <w:ind w:left="550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D48D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66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A7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46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08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49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A0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45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32D72"/>
    <w:multiLevelType w:val="hybridMultilevel"/>
    <w:tmpl w:val="A64ADDF8"/>
    <w:lvl w:ilvl="0" w:tplc="81AE51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FB0682D"/>
    <w:multiLevelType w:val="hybridMultilevel"/>
    <w:tmpl w:val="C11CC07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73574"/>
    <w:multiLevelType w:val="hybridMultilevel"/>
    <w:tmpl w:val="07FEF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A74D8"/>
    <w:multiLevelType w:val="multilevel"/>
    <w:tmpl w:val="B87A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A264F"/>
    <w:multiLevelType w:val="hybridMultilevel"/>
    <w:tmpl w:val="B87A9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A5ECC"/>
    <w:multiLevelType w:val="hybridMultilevel"/>
    <w:tmpl w:val="E6A006A8"/>
    <w:lvl w:ilvl="0" w:tplc="A32E8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85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6E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CC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6A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82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E7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4F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43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53E01"/>
    <w:multiLevelType w:val="hybridMultilevel"/>
    <w:tmpl w:val="BE568D2C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27563"/>
    <w:multiLevelType w:val="singleLevel"/>
    <w:tmpl w:val="42EE21F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2E05C2"/>
    <w:multiLevelType w:val="hybridMultilevel"/>
    <w:tmpl w:val="3BE2A98C"/>
    <w:lvl w:ilvl="0" w:tplc="F39C2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66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A7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46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08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49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A0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45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1726B"/>
    <w:multiLevelType w:val="hybridMultilevel"/>
    <w:tmpl w:val="86A6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36E3B"/>
    <w:multiLevelType w:val="hybridMultilevel"/>
    <w:tmpl w:val="58CC18F4"/>
    <w:lvl w:ilvl="0" w:tplc="1ACC7452">
      <w:start w:val="1"/>
      <w:numFmt w:val="bullet"/>
      <w:lvlText w:val="-"/>
      <w:lvlJc w:val="left"/>
      <w:pPr>
        <w:tabs>
          <w:tab w:val="num" w:pos="643"/>
        </w:tabs>
        <w:ind w:left="530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95FF4"/>
    <w:multiLevelType w:val="hybridMultilevel"/>
    <w:tmpl w:val="99363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D719B"/>
    <w:multiLevelType w:val="multilevel"/>
    <w:tmpl w:val="3BE2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A5C81"/>
    <w:multiLevelType w:val="hybridMultilevel"/>
    <w:tmpl w:val="093EF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25288"/>
    <w:multiLevelType w:val="hybridMultilevel"/>
    <w:tmpl w:val="48B6F8AA"/>
    <w:lvl w:ilvl="0" w:tplc="56DCCF4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D5F71B1"/>
    <w:multiLevelType w:val="multilevel"/>
    <w:tmpl w:val="48B6F8AA"/>
    <w:lvl w:ilvl="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  <w:num w:numId="18">
    <w:abstractNumId w:val="17"/>
  </w:num>
  <w:num w:numId="19">
    <w:abstractNumId w:val="13"/>
  </w:num>
  <w:num w:numId="20">
    <w:abstractNumId w:val="4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EB6"/>
    <w:rsid w:val="006C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4EB6"/>
    <w:pPr>
      <w:keepNext/>
      <w:pageBreakBefore/>
      <w:spacing w:before="120" w:after="24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qFormat/>
    <w:rsid w:val="006C4EB6"/>
    <w:pPr>
      <w:keepNext/>
      <w:keepLines/>
      <w:pageBreakBefore/>
      <w:spacing w:before="120" w:after="24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C4EB6"/>
    <w:pPr>
      <w:keepNext/>
      <w:keepLines/>
      <w:spacing w:before="120" w:after="240" w:line="36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EB6"/>
    <w:rPr>
      <w:rFonts w:ascii="Times New Roman" w:eastAsia="Times New Roman" w:hAnsi="Times New Roman" w:cs="Times New Roman"/>
      <w:b/>
      <w:kern w:val="28"/>
      <w:sz w:val="32"/>
      <w:szCs w:val="20"/>
    </w:rPr>
  </w:style>
  <w:style w:type="character" w:customStyle="1" w:styleId="20">
    <w:name w:val="Заголовок 2 Знак"/>
    <w:basedOn w:val="a0"/>
    <w:link w:val="2"/>
    <w:rsid w:val="006C4EB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6C4EB6"/>
    <w:rPr>
      <w:rFonts w:ascii="Times New Roman" w:eastAsia="Times New Roman" w:hAnsi="Times New Roman" w:cs="Times New Roman"/>
      <w:b/>
      <w:i/>
      <w:sz w:val="28"/>
      <w:szCs w:val="20"/>
    </w:rPr>
  </w:style>
  <w:style w:type="numbering" w:customStyle="1" w:styleId="11">
    <w:name w:val="Нет списка1"/>
    <w:next w:val="a2"/>
    <w:semiHidden/>
    <w:rsid w:val="006C4EB6"/>
  </w:style>
  <w:style w:type="paragraph" w:styleId="21">
    <w:name w:val="Body Text Indent 2"/>
    <w:basedOn w:val="a"/>
    <w:link w:val="22"/>
    <w:rsid w:val="006C4EB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C4EB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6C4EB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6C4EB6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23">
    <w:name w:val="Body Text 2"/>
    <w:basedOn w:val="a"/>
    <w:link w:val="24"/>
    <w:rsid w:val="006C4E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6C4EB6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C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C4EB6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6C4EB6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page number"/>
    <w:basedOn w:val="a0"/>
    <w:rsid w:val="006C4EB6"/>
  </w:style>
  <w:style w:type="paragraph" w:styleId="a9">
    <w:name w:val="footer"/>
    <w:basedOn w:val="a"/>
    <w:link w:val="aa"/>
    <w:rsid w:val="006C4EB6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6C4EB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EB6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6C4E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www.nok-school.narod.ru" TargetMode="External"/><Relationship Id="rId5" Type="http://schemas.openxmlformats.org/officeDocument/2006/relationships/chart" Target="charts/chart1.xml"/><Relationship Id="rId15" Type="http://schemas.openxmlformats.org/officeDocument/2006/relationships/header" Target="header2.xml"/><Relationship Id="rId10" Type="http://schemas.openxmlformats.org/officeDocument/2006/relationships/hyperlink" Target="http://www.nok-school.ucoz.ru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464926590538352E-2"/>
          <c:y val="6.0439560439560447E-2"/>
          <c:w val="0.85154975530179455"/>
          <c:h val="0.752747252747252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кол-во секций</c:v>
                </c:pt>
                <c:pt idx="1">
                  <c:v>кол-во выступлений</c:v>
                </c:pt>
                <c:pt idx="2">
                  <c:v>кол-во уч-ков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16</c:v>
                </c:pt>
                <c:pt idx="2">
                  <c:v>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кол-во секций</c:v>
                </c:pt>
                <c:pt idx="1">
                  <c:v>кол-во выступлений</c:v>
                </c:pt>
                <c:pt idx="2">
                  <c:v>кол-во уч-ков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</c:v>
                </c:pt>
                <c:pt idx="1">
                  <c:v>24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кол-во секций</c:v>
                </c:pt>
                <c:pt idx="1">
                  <c:v>кол-во выступлений</c:v>
                </c:pt>
                <c:pt idx="2">
                  <c:v>кол-во уч-ков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</c:v>
                </c:pt>
                <c:pt idx="1">
                  <c:v>43</c:v>
                </c:pt>
                <c:pt idx="2">
                  <c:v>100</c:v>
                </c:pt>
              </c:numCache>
            </c:numRef>
          </c:val>
        </c:ser>
        <c:gapDepth val="0"/>
        <c:shape val="box"/>
        <c:axId val="133006464"/>
        <c:axId val="133008000"/>
        <c:axId val="0"/>
      </c:bar3DChart>
      <c:catAx>
        <c:axId val="1330064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008000"/>
        <c:crosses val="autoZero"/>
        <c:auto val="1"/>
        <c:lblAlgn val="ctr"/>
        <c:lblOffset val="100"/>
        <c:tickLblSkip val="1"/>
        <c:tickMarkSkip val="1"/>
      </c:catAx>
      <c:valAx>
        <c:axId val="1330080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006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95921696574235"/>
          <c:y val="0.34065934065934067"/>
          <c:w val="6.8515497553017959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9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914572864321606E-2"/>
          <c:y val="7.6335877862595422E-2"/>
          <c:w val="0.56783919597989962"/>
          <c:h val="0.763358778625954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геометрия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история России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CCFFFF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660066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FF8080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0066CC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черчение</c:v>
                </c:pt>
              </c:strCache>
            </c:strRef>
          </c:tx>
          <c:spPr>
            <a:solidFill>
              <a:srgbClr val="CCCCFF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Sheet1!$B$9:$B$9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000080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физкультура</c:v>
                </c:pt>
              </c:strCache>
            </c:strRef>
          </c:tx>
          <c:spPr>
            <a:solidFill>
              <a:srgbClr val="FF00FF"/>
            </a:solidFill>
            <a:ln w="1268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gapDepth val="0"/>
        <c:shape val="box"/>
        <c:axId val="132794624"/>
        <c:axId val="132980736"/>
        <c:axId val="0"/>
      </c:bar3DChart>
      <c:catAx>
        <c:axId val="13279462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80736"/>
        <c:crosses val="autoZero"/>
        <c:auto val="1"/>
        <c:lblAlgn val="ctr"/>
        <c:lblOffset val="100"/>
        <c:tickLblSkip val="1"/>
        <c:tickMarkSkip val="1"/>
      </c:catAx>
      <c:valAx>
        <c:axId val="132980736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794624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60050251256281417"/>
          <c:y val="8.3969465648854991E-2"/>
          <c:w val="0.39949748743718599"/>
          <c:h val="0.83206106870229002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350553505535069E-2"/>
          <c:y val="9.8901098901098911E-2"/>
          <c:w val="0.67343173431734327"/>
          <c:h val="0.7032967032967033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история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14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gapDepth val="0"/>
        <c:shape val="box"/>
        <c:axId val="127870848"/>
        <c:axId val="127872384"/>
        <c:axId val="0"/>
      </c:bar3DChart>
      <c:catAx>
        <c:axId val="1278708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872384"/>
        <c:crosses val="autoZero"/>
        <c:auto val="1"/>
        <c:lblAlgn val="ctr"/>
        <c:lblOffset val="100"/>
        <c:tickLblSkip val="1"/>
        <c:tickMarkSkip val="1"/>
      </c:catAx>
      <c:valAx>
        <c:axId val="1278723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870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907749077490771"/>
          <c:y val="3.2967032967032975E-2"/>
          <c:w val="0.2435424354243543"/>
          <c:h val="0.928571428571428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763485477178428E-2"/>
          <c:y val="4.9450549450549455E-2"/>
          <c:w val="0.59958506224066377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районный показатель</c:v>
                </c:pt>
              </c:strCache>
            </c:strRef>
          </c:tx>
          <c:spPr>
            <a:solidFill>
              <a:srgbClr val="9999FF"/>
            </a:solidFill>
            <a:ln w="11201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cредний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57.6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школьный показатель</c:v>
                </c:pt>
              </c:strCache>
            </c:strRef>
          </c:tx>
          <c:spPr>
            <a:solidFill>
              <a:srgbClr val="993366"/>
            </a:solidFill>
            <a:ln w="11201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cредний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58.1</c:v>
                </c:pt>
              </c:numCache>
            </c:numRef>
          </c:val>
        </c:ser>
        <c:gapDepth val="0"/>
        <c:shape val="box"/>
        <c:axId val="127925248"/>
        <c:axId val="107684608"/>
        <c:axId val="0"/>
      </c:bar3DChart>
      <c:catAx>
        <c:axId val="127925248"/>
        <c:scaling>
          <c:orientation val="minMax"/>
        </c:scaling>
        <c:axPos val="b"/>
        <c:numFmt formatCode="General" sourceLinked="1"/>
        <c:tickLblPos val="low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684608"/>
        <c:crosses val="autoZero"/>
        <c:auto val="1"/>
        <c:lblAlgn val="ctr"/>
        <c:lblOffset val="100"/>
        <c:tickLblSkip val="1"/>
        <c:tickMarkSkip val="1"/>
      </c:catAx>
      <c:valAx>
        <c:axId val="107684608"/>
        <c:scaling>
          <c:orientation val="minMax"/>
        </c:scaling>
        <c:axPos val="l"/>
        <c:majorGridlines>
          <c:spPr>
            <a:ln w="28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925248"/>
        <c:crosses val="autoZero"/>
        <c:crossBetween val="between"/>
      </c:valAx>
      <c:spPr>
        <a:noFill/>
        <a:ln w="22401">
          <a:noFill/>
        </a:ln>
      </c:spPr>
    </c:plotArea>
    <c:legend>
      <c:legendPos val="r"/>
      <c:layout>
        <c:manualLayout>
          <c:xMode val="edge"/>
          <c:yMode val="edge"/>
          <c:x val="0.69917012448132776"/>
          <c:y val="0.3956043956043957"/>
          <c:w val="0.29253112033195022"/>
          <c:h val="0.21428571428571427"/>
        </c:manualLayout>
      </c:layout>
      <c:spPr>
        <a:noFill/>
        <a:ln w="2800">
          <a:solidFill>
            <a:srgbClr val="000000"/>
          </a:solidFill>
          <a:prstDash val="solid"/>
        </a:ln>
      </c:spPr>
      <c:txPr>
        <a:bodyPr/>
        <a:lstStyle/>
        <a:p>
          <a:pPr>
            <a:defRPr sz="64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091286307053944E-2"/>
          <c:y val="4.9450549450549455E-2"/>
          <c:w val="0.61825726141078852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районный показатель</c:v>
                </c:pt>
              </c:strCache>
            </c:strRef>
          </c:tx>
          <c:spPr>
            <a:solidFill>
              <a:srgbClr val="9999FF"/>
            </a:solidFill>
            <a:ln w="11201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41.8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школьный показатель</c:v>
                </c:pt>
              </c:strCache>
            </c:strRef>
          </c:tx>
          <c:spPr>
            <a:solidFill>
              <a:srgbClr val="993366"/>
            </a:solidFill>
            <a:ln w="11201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51.3</c:v>
                </c:pt>
              </c:numCache>
            </c:numRef>
          </c:val>
        </c:ser>
        <c:gapDepth val="0"/>
        <c:shape val="box"/>
        <c:axId val="107628032"/>
        <c:axId val="107630592"/>
        <c:axId val="0"/>
      </c:bar3DChart>
      <c:catAx>
        <c:axId val="107628032"/>
        <c:scaling>
          <c:orientation val="minMax"/>
        </c:scaling>
        <c:axPos val="b"/>
        <c:numFmt formatCode="General" sourceLinked="1"/>
        <c:tickLblPos val="low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630592"/>
        <c:crosses val="autoZero"/>
        <c:auto val="1"/>
        <c:lblAlgn val="ctr"/>
        <c:lblOffset val="100"/>
        <c:tickLblSkip val="1"/>
        <c:tickMarkSkip val="1"/>
      </c:catAx>
      <c:valAx>
        <c:axId val="107630592"/>
        <c:scaling>
          <c:orientation val="minMax"/>
        </c:scaling>
        <c:axPos val="l"/>
        <c:majorGridlines>
          <c:spPr>
            <a:ln w="28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628032"/>
        <c:crosses val="autoZero"/>
        <c:crossBetween val="between"/>
      </c:valAx>
      <c:spPr>
        <a:noFill/>
        <a:ln w="22401">
          <a:noFill/>
        </a:ln>
      </c:spPr>
    </c:plotArea>
    <c:legend>
      <c:legendPos val="r"/>
      <c:layout>
        <c:manualLayout>
          <c:xMode val="edge"/>
          <c:yMode val="edge"/>
          <c:x val="0.69917012448132776"/>
          <c:y val="0.3956043956043957"/>
          <c:w val="0.29253112033195022"/>
          <c:h val="0.21428571428571427"/>
        </c:manualLayout>
      </c:layout>
      <c:spPr>
        <a:noFill/>
        <a:ln w="2800">
          <a:solidFill>
            <a:srgbClr val="000000"/>
          </a:solidFill>
          <a:prstDash val="solid"/>
        </a:ln>
      </c:spPr>
      <c:txPr>
        <a:bodyPr/>
        <a:lstStyle/>
        <a:p>
          <a:pPr>
            <a:defRPr sz="64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1" baseline="0">
                <a:latin typeface="Times New Roman" pitchFamily="18" charset="0"/>
              </a:defRPr>
            </a:pPr>
            <a:r>
              <a:rPr lang="ru-RU" sz="1601" baseline="0">
                <a:latin typeface="Times New Roman" pitchFamily="18" charset="0"/>
              </a:rPr>
              <a:t>Уроки с использоваием ИТ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0752688172043097"/>
          <c:y val="0.24901185770750991"/>
          <c:w val="0.84946236559139376"/>
          <c:h val="0.5059288537549406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201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  <c:pt idx="4">
                  <c:v>2008-2009</c:v>
                </c:pt>
                <c:pt idx="5">
                  <c:v>2009-2010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305</c:v>
                </c:pt>
                <c:pt idx="1">
                  <c:v>311</c:v>
                </c:pt>
                <c:pt idx="2">
                  <c:v>420</c:v>
                </c:pt>
                <c:pt idx="3">
                  <c:v>1129</c:v>
                </c:pt>
                <c:pt idx="4">
                  <c:v>981</c:v>
                </c:pt>
                <c:pt idx="5">
                  <c:v>1184</c:v>
                </c:pt>
              </c:numCache>
            </c:numRef>
          </c:val>
        </c:ser>
        <c:marker val="1"/>
        <c:axId val="51104384"/>
        <c:axId val="67275008"/>
      </c:lineChart>
      <c:catAx>
        <c:axId val="511043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1" b="1" i="0" baseline="0">
                <a:latin typeface="Times New Roman" pitchFamily="18" charset="0"/>
              </a:defRPr>
            </a:pPr>
            <a:endParaRPr lang="ru-RU"/>
          </a:p>
        </c:txPr>
        <c:crossAx val="67275008"/>
        <c:crosses val="autoZero"/>
        <c:auto val="1"/>
        <c:lblAlgn val="ctr"/>
        <c:lblOffset val="100"/>
      </c:catAx>
      <c:valAx>
        <c:axId val="67275008"/>
        <c:scaling>
          <c:orientation val="minMax"/>
        </c:scaling>
        <c:axPos val="l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1" b="1" i="0" baseline="0">
                <a:latin typeface="Times New Roman" pitchFamily="18" charset="0"/>
              </a:defRPr>
            </a:pPr>
            <a:endParaRPr lang="ru-RU"/>
          </a:p>
        </c:txPr>
        <c:crossAx val="51104384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10123</Words>
  <Characters>57706</Characters>
  <Application>Microsoft Office Word</Application>
  <DocSecurity>0</DocSecurity>
  <Lines>480</Lines>
  <Paragraphs>135</Paragraphs>
  <ScaleCrop>false</ScaleCrop>
  <Company>дом</Company>
  <LinksUpToDate>false</LinksUpToDate>
  <CharactersWithSpaces>67694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2010-10-16T17:27:00Z</dcterms:created>
  <dcterms:modified xsi:type="dcterms:W3CDTF">2010-10-16T17:35:00Z</dcterms:modified>
</cp:coreProperties>
</file>